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E988" w14:textId="77777777" w:rsidR="007C4E94" w:rsidRDefault="007C4E94" w:rsidP="00766C94">
      <w:pPr>
        <w:outlineLvl w:val="0"/>
        <w:rPr>
          <w:b/>
          <w:sz w:val="28"/>
          <w:szCs w:val="28"/>
        </w:rPr>
      </w:pPr>
      <w:bookmarkStart w:id="0" w:name="_GoBack"/>
      <w:bookmarkEnd w:id="0"/>
    </w:p>
    <w:p w14:paraId="6B262A67" w14:textId="19ED9D4F" w:rsidR="00766C94" w:rsidRPr="00750284" w:rsidRDefault="00766C94" w:rsidP="00766C94">
      <w:pPr>
        <w:outlineLvl w:val="0"/>
        <w:rPr>
          <w:b/>
          <w:sz w:val="28"/>
          <w:szCs w:val="28"/>
          <w:lang w:val="de-DE"/>
        </w:rPr>
      </w:pPr>
      <w:r w:rsidRPr="00750284">
        <w:rPr>
          <w:b/>
          <w:sz w:val="28"/>
          <w:szCs w:val="28"/>
          <w:lang w:val="de-DE"/>
        </w:rPr>
        <w:t xml:space="preserve">ESCMID </w:t>
      </w:r>
      <w:r w:rsidR="00750284" w:rsidRPr="00750284">
        <w:rPr>
          <w:b/>
          <w:sz w:val="28"/>
          <w:szCs w:val="28"/>
          <w:lang w:val="de-DE"/>
        </w:rPr>
        <w:t xml:space="preserve">– Vermeidung von Antibiotikaresistenzen </w:t>
      </w:r>
      <w:r w:rsidR="001113F8">
        <w:rPr>
          <w:b/>
          <w:sz w:val="28"/>
          <w:szCs w:val="28"/>
          <w:lang w:val="de-DE"/>
        </w:rPr>
        <w:t>(</w:t>
      </w:r>
      <w:proofErr w:type="spellStart"/>
      <w:r w:rsidR="001113F8">
        <w:rPr>
          <w:b/>
          <w:sz w:val="28"/>
          <w:szCs w:val="28"/>
          <w:lang w:val="de-DE"/>
        </w:rPr>
        <w:t>Antibiotic</w:t>
      </w:r>
      <w:proofErr w:type="spellEnd"/>
      <w:r w:rsidR="001113F8">
        <w:rPr>
          <w:b/>
          <w:sz w:val="28"/>
          <w:szCs w:val="28"/>
          <w:lang w:val="de-DE"/>
        </w:rPr>
        <w:t xml:space="preserve"> Stewardship) </w:t>
      </w:r>
      <w:r w:rsidR="00750284" w:rsidRPr="00750284">
        <w:rPr>
          <w:b/>
          <w:sz w:val="28"/>
          <w:szCs w:val="28"/>
          <w:lang w:val="de-DE"/>
        </w:rPr>
        <w:t xml:space="preserve">und </w:t>
      </w:r>
      <w:r w:rsidR="00750284">
        <w:rPr>
          <w:b/>
          <w:sz w:val="28"/>
          <w:szCs w:val="28"/>
          <w:lang w:val="de-DE"/>
        </w:rPr>
        <w:t>Antibiotikaverschreibungen</w:t>
      </w:r>
    </w:p>
    <w:p w14:paraId="3C7E98A3" w14:textId="49AAC9F1" w:rsidR="00A571E9" w:rsidRPr="00750284" w:rsidRDefault="00A571E9" w:rsidP="0006686A">
      <w:pPr>
        <w:rPr>
          <w:sz w:val="28"/>
          <w:szCs w:val="28"/>
          <w:lang w:val="de-DE"/>
        </w:rPr>
      </w:pPr>
    </w:p>
    <w:p w14:paraId="741D518E" w14:textId="6D2F2D16" w:rsidR="00010ABC" w:rsidRPr="00750284" w:rsidRDefault="00750284" w:rsidP="0037259E">
      <w:pPr>
        <w:rPr>
          <w:b/>
          <w:lang w:val="de-DE"/>
        </w:rPr>
      </w:pPr>
      <w:r w:rsidRPr="00750284">
        <w:rPr>
          <w:b/>
          <w:lang w:val="de-DE"/>
        </w:rPr>
        <w:t>Einführung</w:t>
      </w:r>
    </w:p>
    <w:p w14:paraId="45E1899F" w14:textId="467BF563" w:rsidR="00750284" w:rsidRDefault="00750284" w:rsidP="00B92D2E">
      <w:pPr>
        <w:rPr>
          <w:lang w:val="de-DE"/>
        </w:rPr>
      </w:pPr>
      <w:r w:rsidRPr="00750284">
        <w:rPr>
          <w:lang w:val="de-DE"/>
        </w:rPr>
        <w:t xml:space="preserve">Dieses Dokument enthält eine Übersicht </w:t>
      </w:r>
      <w:r w:rsidR="001113F8">
        <w:rPr>
          <w:lang w:val="de-DE"/>
        </w:rPr>
        <w:t>allgemeiner</w:t>
      </w:r>
      <w:r w:rsidRPr="00750284">
        <w:rPr>
          <w:lang w:val="de-DE"/>
        </w:rPr>
        <w:t xml:space="preserve"> Kompetenzen bei Antibiotikaverschreibungen und zur</w:t>
      </w:r>
      <w:r>
        <w:rPr>
          <w:lang w:val="de-DE"/>
        </w:rPr>
        <w:t xml:space="preserve"> Vermeidung von Resistenzen als Resultat eines strukturierten Konsensverfahrens, welches</w:t>
      </w:r>
      <w:r w:rsidR="001F23FD">
        <w:rPr>
          <w:lang w:val="de-DE"/>
        </w:rPr>
        <w:t xml:space="preserve"> unter anderem</w:t>
      </w:r>
      <w:r>
        <w:rPr>
          <w:lang w:val="de-DE"/>
        </w:rPr>
        <w:t xml:space="preserve"> von einem multidisziplinären Expertenpanel aus 24 europäischen Ländern durchgeführt wurde. </w:t>
      </w:r>
      <w:r w:rsidR="001113F8" w:rsidRPr="001113F8">
        <w:rPr>
          <w:lang w:val="de-DE"/>
        </w:rPr>
        <w:t xml:space="preserve">Diese Kompetenzen betreffen alle unabhängigen Verordner in Europa. Sie sind allgemein gehalten und können daher an die Bedürfnisse aller verschreibenden Berufsgruppen angepasst </w:t>
      </w:r>
      <w:r w:rsidR="001113F8">
        <w:rPr>
          <w:lang w:val="de-DE"/>
        </w:rPr>
        <w:t>we</w:t>
      </w:r>
      <w:r w:rsidR="001113F8" w:rsidRPr="001113F8">
        <w:rPr>
          <w:lang w:val="de-DE"/>
        </w:rPr>
        <w:t>rden.</w:t>
      </w:r>
    </w:p>
    <w:p w14:paraId="0EE284A7" w14:textId="77777777" w:rsidR="001113F8" w:rsidRDefault="001113F8" w:rsidP="00B92D2E">
      <w:pPr>
        <w:rPr>
          <w:lang w:val="de-DE"/>
        </w:rPr>
      </w:pPr>
    </w:p>
    <w:p w14:paraId="2307BE68" w14:textId="54FE838C" w:rsidR="001113F8" w:rsidRPr="001113F8" w:rsidRDefault="001113F8" w:rsidP="00B92D2E">
      <w:pPr>
        <w:rPr>
          <w:lang w:val="de-DE"/>
        </w:rPr>
      </w:pPr>
      <w:r>
        <w:rPr>
          <w:lang w:val="de-DE"/>
        </w:rPr>
        <w:t xml:space="preserve">Weitere relevante Kompetenzen betreffen die Verordner von Antibiotika und </w:t>
      </w:r>
      <w:proofErr w:type="spellStart"/>
      <w:r>
        <w:rPr>
          <w:lang w:val="de-DE"/>
        </w:rPr>
        <w:t>Antibiotic</w:t>
      </w:r>
      <w:proofErr w:type="spellEnd"/>
      <w:r>
        <w:rPr>
          <w:lang w:val="de-DE"/>
        </w:rPr>
        <w:t xml:space="preserve"> Stewards wie die </w:t>
      </w:r>
      <w:r w:rsidR="00703756">
        <w:rPr>
          <w:lang w:val="de-DE"/>
        </w:rPr>
        <w:t>Kompetenz</w:t>
      </w:r>
      <w:r>
        <w:rPr>
          <w:lang w:val="de-DE"/>
        </w:rPr>
        <w:t xml:space="preserve"> bei Infektionsprävention und -bekämpfung, öffentliche Gesundheit und Impfungen. Die </w:t>
      </w:r>
      <w:r w:rsidR="00703756">
        <w:rPr>
          <w:lang w:val="de-DE"/>
        </w:rPr>
        <w:t>Kompetenzen</w:t>
      </w:r>
      <w:r w:rsidR="00F43216">
        <w:rPr>
          <w:lang w:val="de-DE"/>
        </w:rPr>
        <w:t xml:space="preserve"> wurden jedoch nur in Betracht gezogen</w:t>
      </w:r>
      <w:r>
        <w:rPr>
          <w:lang w:val="de-DE"/>
        </w:rPr>
        <w:t>, wenn der Schwerpunkt</w:t>
      </w:r>
      <w:r w:rsidR="00703756">
        <w:rPr>
          <w:lang w:val="de-DE"/>
        </w:rPr>
        <w:t xml:space="preserve"> auf Antibiotikaverschreibungen und </w:t>
      </w:r>
      <w:proofErr w:type="spellStart"/>
      <w:r w:rsidR="00703756">
        <w:rPr>
          <w:lang w:val="de-DE"/>
        </w:rPr>
        <w:t>Antibiotic</w:t>
      </w:r>
      <w:proofErr w:type="spellEnd"/>
      <w:r w:rsidR="00703756">
        <w:rPr>
          <w:lang w:val="de-DE"/>
        </w:rPr>
        <w:t xml:space="preserve"> Stewardship lag. Ein wesentlicher Aspekt ist, dass weitere Kompetenzen auch bei jedweder Strategie berücksichtigt werden, um die Entstehung und Verbreitung von Antibiotikaresistenzen einzudämmen und damit den Nutzen einer Antibiotikatherapie zu bewahren.</w:t>
      </w:r>
    </w:p>
    <w:p w14:paraId="068654F0" w14:textId="6A753315" w:rsidR="00B92D2E" w:rsidRPr="00703756" w:rsidRDefault="00B92D2E" w:rsidP="009B03B9">
      <w:pPr>
        <w:autoSpaceDE w:val="0"/>
        <w:autoSpaceDN w:val="0"/>
        <w:adjustRightInd w:val="0"/>
        <w:rPr>
          <w:rFonts w:ascii="Calibri" w:hAnsi="Calibri" w:cs="Calibri"/>
          <w:lang w:val="de-DE"/>
        </w:rPr>
      </w:pPr>
    </w:p>
    <w:p w14:paraId="2975CCCA" w14:textId="77777777" w:rsidR="00703756" w:rsidRPr="00703756" w:rsidRDefault="00703756" w:rsidP="009B03B9">
      <w:pPr>
        <w:autoSpaceDE w:val="0"/>
        <w:autoSpaceDN w:val="0"/>
        <w:adjustRightInd w:val="0"/>
        <w:rPr>
          <w:rFonts w:ascii="Calibri" w:hAnsi="Calibri" w:cs="Calibri"/>
          <w:lang w:val="de-DE"/>
        </w:rPr>
      </w:pPr>
    </w:p>
    <w:p w14:paraId="7C5A19E5" w14:textId="2B65C05A" w:rsidR="00B92D2E" w:rsidRPr="00703756" w:rsidRDefault="00703756" w:rsidP="00B92D2E">
      <w:pPr>
        <w:autoSpaceDE w:val="0"/>
        <w:autoSpaceDN w:val="0"/>
        <w:adjustRightInd w:val="0"/>
        <w:rPr>
          <w:rFonts w:ascii="p]lÀ˛" w:hAnsi="p]lÀ˛" w:cs="p]lÀ˛"/>
          <w:i/>
          <w:lang w:val="de-DE"/>
        </w:rPr>
      </w:pPr>
      <w:r w:rsidRPr="00703756">
        <w:rPr>
          <w:rFonts w:ascii="p]lÀ˛" w:hAnsi="p]lÀ˛" w:cs="p]lÀ˛"/>
          <w:i/>
          <w:lang w:val="de-DE"/>
        </w:rPr>
        <w:t>Festgelegte Definitionen für die Entwicklung von Kompetenzen</w:t>
      </w:r>
      <w:r w:rsidR="00B92D2E" w:rsidRPr="00703756">
        <w:rPr>
          <w:rFonts w:ascii="p]lÀ˛" w:hAnsi="p]lÀ˛" w:cs="p]lÀ˛"/>
          <w:i/>
          <w:lang w:val="de-DE"/>
        </w:rPr>
        <w:t>:</w:t>
      </w:r>
    </w:p>
    <w:p w14:paraId="1D80321E" w14:textId="0F2BFBE7" w:rsidR="00703756" w:rsidRDefault="00703756" w:rsidP="00B92D2E">
      <w:pPr>
        <w:pStyle w:val="Listenabsatz"/>
        <w:numPr>
          <w:ilvl w:val="0"/>
          <w:numId w:val="10"/>
        </w:numPr>
        <w:autoSpaceDE w:val="0"/>
        <w:autoSpaceDN w:val="0"/>
        <w:adjustRightInd w:val="0"/>
        <w:rPr>
          <w:rFonts w:ascii="p]lÀ˛" w:hAnsi="p]lÀ˛" w:cs="p]lÀ˛"/>
          <w:lang w:val="de-DE"/>
        </w:rPr>
      </w:pPr>
      <w:r>
        <w:rPr>
          <w:rFonts w:ascii="p]lÀ˛" w:hAnsi="p]lÀ˛" w:cs="p]lÀ˛"/>
          <w:i/>
          <w:lang w:val="de-DE"/>
        </w:rPr>
        <w:t>Kompetenzen</w:t>
      </w:r>
      <w:r w:rsidR="00B92D2E" w:rsidRPr="00703756">
        <w:rPr>
          <w:rFonts w:ascii="p]lÀ˛" w:hAnsi="p]lÀ˛" w:cs="p]lÀ˛"/>
          <w:lang w:val="de-DE"/>
        </w:rPr>
        <w:t xml:space="preserve"> </w:t>
      </w:r>
      <w:r w:rsidRPr="00703756">
        <w:rPr>
          <w:rFonts w:ascii="p]lÀ˛" w:hAnsi="p]lÀ˛" w:cs="p]lÀ˛"/>
          <w:lang w:val="de-DE"/>
        </w:rPr>
        <w:t>sind der Minimalstandard, de</w:t>
      </w:r>
      <w:r>
        <w:rPr>
          <w:rFonts w:ascii="p]lÀ˛" w:hAnsi="p]lÀ˛" w:cs="p]lÀ˛"/>
          <w:lang w:val="de-DE"/>
        </w:rPr>
        <w:t>n</w:t>
      </w:r>
      <w:r w:rsidRPr="00703756">
        <w:rPr>
          <w:rFonts w:ascii="p]lÀ˛" w:hAnsi="p]lÀ˛" w:cs="p]lÀ˛"/>
          <w:lang w:val="de-DE"/>
        </w:rPr>
        <w:t xml:space="preserve"> alle unabhängigen Verordner von Antibiotika </w:t>
      </w:r>
      <w:r>
        <w:rPr>
          <w:rFonts w:ascii="p]lÀ˛" w:hAnsi="p]lÀ˛" w:cs="p]lÀ˛"/>
          <w:lang w:val="de-DE"/>
        </w:rPr>
        <w:t>haben sollten, gemäß den Grundprinzipien eines verantwortungsbewussten Antibiotikaeinsatzes.</w:t>
      </w:r>
    </w:p>
    <w:p w14:paraId="51B9F770" w14:textId="6751F54E" w:rsidR="00703756" w:rsidRPr="00703756" w:rsidRDefault="00703756" w:rsidP="00B92D2E">
      <w:pPr>
        <w:pStyle w:val="Listenabsatz"/>
        <w:numPr>
          <w:ilvl w:val="0"/>
          <w:numId w:val="10"/>
        </w:numPr>
        <w:autoSpaceDE w:val="0"/>
        <w:autoSpaceDN w:val="0"/>
        <w:adjustRightInd w:val="0"/>
        <w:rPr>
          <w:rFonts w:ascii="p]lÀ˛" w:hAnsi="p]lÀ˛" w:cs="p]lÀ˛"/>
          <w:lang w:val="de-DE"/>
        </w:rPr>
      </w:pPr>
      <w:r>
        <w:rPr>
          <w:rFonts w:ascii="p]lÀ˛" w:hAnsi="p]lÀ˛" w:cs="p]lÀ˛"/>
          <w:i/>
          <w:lang w:val="de-DE"/>
        </w:rPr>
        <w:t>Unabhängig</w:t>
      </w:r>
      <w:r>
        <w:rPr>
          <w:rFonts w:ascii="p]lÀ˛" w:hAnsi="p]lÀ˛" w:cs="p]lÀ˛"/>
          <w:lang w:val="de-DE"/>
        </w:rPr>
        <w:t xml:space="preserve"> ist ein Verordner, der </w:t>
      </w:r>
      <w:r w:rsidR="00A86377">
        <w:rPr>
          <w:rFonts w:ascii="p]lÀ˛" w:hAnsi="p]lÀ˛" w:cs="p]lÀ˛"/>
          <w:lang w:val="de-DE"/>
        </w:rPr>
        <w:t xml:space="preserve">Rezepte </w:t>
      </w:r>
      <w:r>
        <w:rPr>
          <w:rFonts w:ascii="p]lÀ˛" w:hAnsi="p]lÀ˛" w:cs="p]lÀ˛"/>
          <w:lang w:val="de-DE"/>
        </w:rPr>
        <w:t xml:space="preserve">im Allgemeinen ohne </w:t>
      </w:r>
      <w:r w:rsidR="00A86377">
        <w:rPr>
          <w:rFonts w:ascii="p]lÀ˛" w:hAnsi="p]lÀ˛" w:cs="p]lÀ˛"/>
          <w:lang w:val="de-DE"/>
        </w:rPr>
        <w:t>Kontrolle und uneingeschränkt ausstellen kann, auch wenn die Gesetzgebungen hinsichtlich bestimmter Verschreibungen von Land zu Land unterschiedlich sind.</w:t>
      </w:r>
    </w:p>
    <w:p w14:paraId="26128498" w14:textId="541962EF" w:rsidR="00DC0EF0" w:rsidRDefault="00DC0EF0" w:rsidP="00DC0EF0">
      <w:pPr>
        <w:autoSpaceDE w:val="0"/>
        <w:autoSpaceDN w:val="0"/>
        <w:adjustRightInd w:val="0"/>
        <w:rPr>
          <w:rFonts w:ascii="Calibri" w:hAnsi="Calibri" w:cs="Calibri"/>
          <w:lang w:val="de-DE"/>
        </w:rPr>
      </w:pPr>
    </w:p>
    <w:p w14:paraId="4E3C90A5" w14:textId="1FC53E3A" w:rsidR="00A86377" w:rsidRPr="00A86377" w:rsidRDefault="00A86377" w:rsidP="00DC0EF0">
      <w:pPr>
        <w:autoSpaceDE w:val="0"/>
        <w:autoSpaceDN w:val="0"/>
        <w:adjustRightInd w:val="0"/>
        <w:rPr>
          <w:rFonts w:ascii="Calibri" w:hAnsi="Calibri" w:cs="Calibri"/>
          <w:lang w:val="de-DE"/>
        </w:rPr>
      </w:pPr>
      <w:r>
        <w:rPr>
          <w:rFonts w:ascii="Calibri" w:hAnsi="Calibri" w:cs="Calibri"/>
          <w:lang w:val="de-DE"/>
        </w:rPr>
        <w:t>Verordner gelten dann als kompetent, wenn sie ihre Kenntnisse und ihr Verstehen unter Beweis stellen, beispielsweise indem sie bei der Verschreibung eines Antibiotikums spezifisches Wissen oder Fähigkeiten miteinfließen lassen.</w:t>
      </w:r>
    </w:p>
    <w:p w14:paraId="3C16D7B2" w14:textId="535DAD31" w:rsidR="00F01478" w:rsidRPr="001F23FD" w:rsidRDefault="00F01478" w:rsidP="0037259E">
      <w:pPr>
        <w:rPr>
          <w:lang w:val="de-DE"/>
        </w:rPr>
      </w:pPr>
    </w:p>
    <w:p w14:paraId="4BCA0F5C" w14:textId="77777777" w:rsidR="00F01478" w:rsidRPr="001F23FD" w:rsidRDefault="00F01478" w:rsidP="0037259E">
      <w:pPr>
        <w:rPr>
          <w:lang w:val="de-DE"/>
        </w:rPr>
      </w:pPr>
    </w:p>
    <w:p w14:paraId="23ABCFF0" w14:textId="0EDEBCB7" w:rsidR="00D81A86" w:rsidRPr="00A86377" w:rsidRDefault="00A86377" w:rsidP="00D81A86">
      <w:pPr>
        <w:rPr>
          <w:b/>
          <w:lang w:val="de-DE"/>
        </w:rPr>
      </w:pPr>
      <w:r>
        <w:rPr>
          <w:b/>
          <w:lang w:val="de-DE"/>
        </w:rPr>
        <w:t>Abschnitt</w:t>
      </w:r>
      <w:r w:rsidR="00D81A86" w:rsidRPr="00A86377">
        <w:rPr>
          <w:b/>
          <w:lang w:val="de-DE"/>
        </w:rPr>
        <w:t xml:space="preserve"> 1: </w:t>
      </w:r>
      <w:r w:rsidRPr="00A86377">
        <w:rPr>
          <w:b/>
          <w:lang w:val="de-DE"/>
        </w:rPr>
        <w:t>Kernkonzepte in der Mikrobiologie, Pathogenese und Infektionsdiagnostik</w:t>
      </w:r>
    </w:p>
    <w:p w14:paraId="0A7B8882" w14:textId="77777777" w:rsidR="003C7131" w:rsidRPr="00A86377" w:rsidRDefault="003C7131" w:rsidP="00D81A86">
      <w:pPr>
        <w:rPr>
          <w:b/>
          <w:lang w:val="de-DE"/>
        </w:rPr>
      </w:pPr>
    </w:p>
    <w:p w14:paraId="1154FAF7" w14:textId="2A463079" w:rsidR="00D81A86" w:rsidRPr="002A4B47" w:rsidRDefault="002A4B47" w:rsidP="00D81A86">
      <w:pPr>
        <w:numPr>
          <w:ilvl w:val="0"/>
          <w:numId w:val="24"/>
        </w:numPr>
        <w:rPr>
          <w:lang w:val="de-DE"/>
        </w:rPr>
      </w:pPr>
      <w:r w:rsidRPr="002A4B47">
        <w:rPr>
          <w:lang w:val="de-DE"/>
        </w:rPr>
        <w:t>Jeder unabhängige Verordner hat Kenntnis von</w:t>
      </w:r>
      <w:r w:rsidR="00D81A86" w:rsidRPr="002A4B47">
        <w:rPr>
          <w:lang w:val="de-DE"/>
        </w:rPr>
        <w:t>:</w:t>
      </w:r>
    </w:p>
    <w:p w14:paraId="042C81DE" w14:textId="6406D754" w:rsidR="00D81A86" w:rsidRPr="002A4B47" w:rsidRDefault="002A4B47" w:rsidP="00D81A86">
      <w:pPr>
        <w:numPr>
          <w:ilvl w:val="1"/>
          <w:numId w:val="24"/>
        </w:numPr>
        <w:rPr>
          <w:lang w:val="de-DE"/>
        </w:rPr>
      </w:pPr>
      <w:r>
        <w:rPr>
          <w:bCs/>
          <w:lang w:val="de-DE"/>
        </w:rPr>
        <w:t>der Art und Klassifikation von Mikroorganismen, die üblicherweise ursächlich für Infektionen beim Menschen sind</w:t>
      </w:r>
    </w:p>
    <w:p w14:paraId="757F9DDC" w14:textId="7F97AA57" w:rsidR="002A4B47" w:rsidRPr="002A4B47" w:rsidRDefault="002A4B47" w:rsidP="00D81A86">
      <w:pPr>
        <w:numPr>
          <w:ilvl w:val="1"/>
          <w:numId w:val="24"/>
        </w:numPr>
        <w:rPr>
          <w:lang w:val="de-DE"/>
        </w:rPr>
      </w:pPr>
      <w:r w:rsidRPr="002A4B47">
        <w:rPr>
          <w:bCs/>
          <w:lang w:val="de-DE"/>
        </w:rPr>
        <w:t xml:space="preserve">der gängigen mikrobiologischen Ätiologie von Infektionen beim Menschen und der Art, wie Mikroorganismen üblicherweise </w:t>
      </w:r>
      <w:r>
        <w:rPr>
          <w:bCs/>
          <w:lang w:val="de-DE"/>
        </w:rPr>
        <w:t>in Menschenansammlungen und in der Krankenhausumgebung erworben bzw. übertragen werden</w:t>
      </w:r>
    </w:p>
    <w:p w14:paraId="52DCE706" w14:textId="686231EA" w:rsidR="002A4B47" w:rsidRPr="002A4B47" w:rsidRDefault="002A4B47" w:rsidP="00D81A86">
      <w:pPr>
        <w:numPr>
          <w:ilvl w:val="1"/>
          <w:numId w:val="24"/>
        </w:numPr>
        <w:rPr>
          <w:lang w:val="de-DE"/>
        </w:rPr>
      </w:pPr>
      <w:r>
        <w:rPr>
          <w:bCs/>
          <w:lang w:val="de-DE"/>
        </w:rPr>
        <w:t xml:space="preserve">den Unterschieden zwischen Besiedlung (z.B. Isolation von Bakterien bei venösen Beinulzera [Ulcus </w:t>
      </w:r>
      <w:proofErr w:type="spellStart"/>
      <w:r>
        <w:rPr>
          <w:bCs/>
          <w:lang w:val="de-DE"/>
        </w:rPr>
        <w:t>crusis</w:t>
      </w:r>
      <w:proofErr w:type="spellEnd"/>
      <w:r>
        <w:rPr>
          <w:bCs/>
          <w:lang w:val="de-DE"/>
        </w:rPr>
        <w:t xml:space="preserve"> venosum] ohne Entzündungszeichen) und Infektion</w:t>
      </w:r>
    </w:p>
    <w:p w14:paraId="1A21C5C9" w14:textId="1D53DCFB" w:rsidR="002A4B47" w:rsidRPr="002A4B47" w:rsidRDefault="002A4B47" w:rsidP="00D81A86">
      <w:pPr>
        <w:numPr>
          <w:ilvl w:val="1"/>
          <w:numId w:val="24"/>
        </w:numPr>
        <w:rPr>
          <w:lang w:val="de-DE"/>
        </w:rPr>
      </w:pPr>
      <w:r>
        <w:rPr>
          <w:bCs/>
          <w:lang w:val="de-DE"/>
        </w:rPr>
        <w:t>der Tatsache, dass Entzündungsreaktionen sowohl auf eine infektiöse als auch auf eine nicht-infektiöse Ursache zurückzuführen sein können (z.B. akute Pankreatitis)</w:t>
      </w:r>
    </w:p>
    <w:p w14:paraId="237233CF" w14:textId="40308A57" w:rsidR="00D81A86" w:rsidRPr="001F23FD" w:rsidRDefault="00D81A86" w:rsidP="00D81A86">
      <w:pPr>
        <w:rPr>
          <w:lang w:val="de-DE"/>
        </w:rPr>
      </w:pPr>
    </w:p>
    <w:p w14:paraId="2137FE67" w14:textId="77777777" w:rsidR="003C7131" w:rsidRPr="001F23FD" w:rsidRDefault="003C7131" w:rsidP="00D81A86">
      <w:pPr>
        <w:rPr>
          <w:lang w:val="de-DE"/>
        </w:rPr>
      </w:pPr>
    </w:p>
    <w:p w14:paraId="6F3A4A3D" w14:textId="311FCBE2" w:rsidR="00D81A86" w:rsidRPr="002A4B47" w:rsidRDefault="002A4B47" w:rsidP="00D81A86">
      <w:pPr>
        <w:numPr>
          <w:ilvl w:val="0"/>
          <w:numId w:val="24"/>
        </w:numPr>
        <w:rPr>
          <w:lang w:val="de-DE"/>
        </w:rPr>
      </w:pPr>
      <w:r w:rsidRPr="002A4B47">
        <w:rPr>
          <w:lang w:val="de-DE"/>
        </w:rPr>
        <w:t>Je</w:t>
      </w:r>
      <w:r w:rsidR="00584D43">
        <w:rPr>
          <w:lang w:val="de-DE"/>
        </w:rPr>
        <w:t>der unabhängige Verordner weiß,</w:t>
      </w:r>
    </w:p>
    <w:p w14:paraId="7F36FFEA" w14:textId="001A42CE" w:rsidR="002A4B47" w:rsidRPr="002A4B47" w:rsidRDefault="00584D43" w:rsidP="00D81A86">
      <w:pPr>
        <w:numPr>
          <w:ilvl w:val="1"/>
          <w:numId w:val="24"/>
        </w:numPr>
        <w:rPr>
          <w:lang w:val="de-DE"/>
        </w:rPr>
      </w:pPr>
      <w:r>
        <w:rPr>
          <w:lang w:val="de-DE"/>
        </w:rPr>
        <w:t xml:space="preserve">wie </w:t>
      </w:r>
      <w:r w:rsidR="002A4B47" w:rsidRPr="002A4B47">
        <w:rPr>
          <w:lang w:val="de-DE"/>
        </w:rPr>
        <w:t xml:space="preserve">eine sorgfältige Anamnese erhoben </w:t>
      </w:r>
      <w:r w:rsidR="002A4B47">
        <w:rPr>
          <w:lang w:val="de-DE"/>
        </w:rPr>
        <w:t>und eine körperliche Untersuchung durchgeführt wird, um gängige Infektionen zu diagnostizieren und deren Schweregrad einzustufen</w:t>
      </w:r>
    </w:p>
    <w:p w14:paraId="2A3EEF49" w14:textId="0A818EF0" w:rsidR="00D81A86" w:rsidRPr="00584D43" w:rsidRDefault="00584D43" w:rsidP="00D81A86">
      <w:pPr>
        <w:numPr>
          <w:ilvl w:val="1"/>
          <w:numId w:val="24"/>
        </w:numPr>
        <w:rPr>
          <w:lang w:val="de-DE"/>
        </w:rPr>
      </w:pPr>
      <w:r>
        <w:rPr>
          <w:lang w:val="de-DE"/>
        </w:rPr>
        <w:t xml:space="preserve">wie </w:t>
      </w:r>
      <w:r w:rsidRPr="00584D43">
        <w:rPr>
          <w:lang w:val="de-DE"/>
        </w:rPr>
        <w:t xml:space="preserve">er Untersuchungen einsetzen und deren Ergebnisse interpretieren muss, </w:t>
      </w:r>
      <w:r>
        <w:rPr>
          <w:lang w:val="de-DE"/>
        </w:rPr>
        <w:t>die dazu beitragen können, wie eine diagnostizierte Infektion einzuschätzen ist und wie das Ansprechen auf eine Behandlung beurteilt werden kann (z.B. mikrobiologische Untersuchungen, Biomarker, Point-</w:t>
      </w:r>
      <w:proofErr w:type="spellStart"/>
      <w:r>
        <w:rPr>
          <w:lang w:val="de-DE"/>
        </w:rPr>
        <w:t>of</w:t>
      </w:r>
      <w:proofErr w:type="spellEnd"/>
      <w:r>
        <w:rPr>
          <w:lang w:val="de-DE"/>
        </w:rPr>
        <w:t>-Care Tests)</w:t>
      </w:r>
    </w:p>
    <w:p w14:paraId="6E3361CC" w14:textId="77777777" w:rsidR="003C7131" w:rsidRPr="00584D43" w:rsidRDefault="003C7131" w:rsidP="00D81A86">
      <w:pPr>
        <w:rPr>
          <w:b/>
          <w:lang w:val="de-DE"/>
        </w:rPr>
      </w:pPr>
    </w:p>
    <w:p w14:paraId="777DEEDA" w14:textId="31A97115" w:rsidR="00D81A86" w:rsidRDefault="00584D43" w:rsidP="00D81A86">
      <w:pPr>
        <w:rPr>
          <w:b/>
        </w:rPr>
      </w:pPr>
      <w:proofErr w:type="spellStart"/>
      <w:r>
        <w:rPr>
          <w:b/>
        </w:rPr>
        <w:t>Abschnitt</w:t>
      </w:r>
      <w:proofErr w:type="spellEnd"/>
      <w:r>
        <w:rPr>
          <w:b/>
        </w:rPr>
        <w:t xml:space="preserve"> </w:t>
      </w:r>
      <w:r w:rsidR="00D81A86" w:rsidRPr="00EF35DC">
        <w:rPr>
          <w:b/>
        </w:rPr>
        <w:t xml:space="preserve">2: </w:t>
      </w:r>
      <w:proofErr w:type="spellStart"/>
      <w:r>
        <w:rPr>
          <w:b/>
        </w:rPr>
        <w:t>Verschreiben</w:t>
      </w:r>
      <w:proofErr w:type="spellEnd"/>
      <w:r>
        <w:rPr>
          <w:b/>
        </w:rPr>
        <w:t xml:space="preserve"> von </w:t>
      </w:r>
      <w:proofErr w:type="spellStart"/>
      <w:r>
        <w:rPr>
          <w:b/>
        </w:rPr>
        <w:t>Antibiotika</w:t>
      </w:r>
      <w:proofErr w:type="spellEnd"/>
    </w:p>
    <w:p w14:paraId="635C6DDC" w14:textId="77777777" w:rsidR="00170BE3" w:rsidRPr="00EF35DC" w:rsidRDefault="00170BE3" w:rsidP="00D81A86"/>
    <w:p w14:paraId="35411E40" w14:textId="220C6E3A" w:rsidR="00D81A86" w:rsidRPr="00EF35DC" w:rsidRDefault="00584D43" w:rsidP="00D81A86">
      <w:pPr>
        <w:numPr>
          <w:ilvl w:val="0"/>
          <w:numId w:val="26"/>
        </w:numPr>
      </w:pPr>
      <w:proofErr w:type="spellStart"/>
      <w:r>
        <w:t>Jeder</w:t>
      </w:r>
      <w:proofErr w:type="spellEnd"/>
      <w:r>
        <w:t xml:space="preserve"> </w:t>
      </w:r>
      <w:proofErr w:type="spellStart"/>
      <w:r>
        <w:t>unabhängige</w:t>
      </w:r>
      <w:proofErr w:type="spellEnd"/>
      <w:r>
        <w:t xml:space="preserve"> </w:t>
      </w:r>
      <w:proofErr w:type="spellStart"/>
      <w:r>
        <w:t>Verordner</w:t>
      </w:r>
      <w:proofErr w:type="spellEnd"/>
      <w:r>
        <w:t xml:space="preserve"> </w:t>
      </w:r>
      <w:proofErr w:type="spellStart"/>
      <w:r>
        <w:t>weiß</w:t>
      </w:r>
      <w:proofErr w:type="spellEnd"/>
      <w:r>
        <w:t>,</w:t>
      </w:r>
    </w:p>
    <w:p w14:paraId="27554636" w14:textId="56ED3015" w:rsidR="00584D43" w:rsidRPr="00584D43" w:rsidRDefault="00584D43" w:rsidP="00D81A86">
      <w:pPr>
        <w:numPr>
          <w:ilvl w:val="1"/>
          <w:numId w:val="26"/>
        </w:numPr>
        <w:rPr>
          <w:lang w:val="de-DE"/>
        </w:rPr>
      </w:pPr>
      <w:r w:rsidRPr="00584D43">
        <w:rPr>
          <w:lang w:val="de-DE"/>
        </w:rPr>
        <w:t xml:space="preserve">wie und wo er Zugang zu relevanten Informationen und Richtlinien zur Antibiotikaverschreibung und </w:t>
      </w:r>
      <w:proofErr w:type="spellStart"/>
      <w:r w:rsidRPr="00584D43">
        <w:rPr>
          <w:lang w:val="de-DE"/>
        </w:rPr>
        <w:t>Antibiotic</w:t>
      </w:r>
      <w:proofErr w:type="spellEnd"/>
      <w:r w:rsidRPr="00584D43">
        <w:rPr>
          <w:lang w:val="de-DE"/>
        </w:rPr>
        <w:t xml:space="preserve"> Stewardship erhält</w:t>
      </w:r>
    </w:p>
    <w:p w14:paraId="4DA53B9F" w14:textId="7C873F5B" w:rsidR="00584D43" w:rsidRPr="00584D43" w:rsidRDefault="00584D43" w:rsidP="00D81A86">
      <w:pPr>
        <w:numPr>
          <w:ilvl w:val="1"/>
          <w:numId w:val="26"/>
        </w:numPr>
        <w:rPr>
          <w:lang w:val="de-DE"/>
        </w:rPr>
      </w:pPr>
      <w:r>
        <w:rPr>
          <w:lang w:val="de-DE"/>
        </w:rPr>
        <w:t>wann Antibiotika nicht verschrieben werden sollten (z.B. bei Virusinfektionen oder bei bakterieller Besiedlung)</w:t>
      </w:r>
    </w:p>
    <w:p w14:paraId="0D2F946D" w14:textId="5BA078C0" w:rsidR="00D81A86" w:rsidRPr="00584D43" w:rsidRDefault="00584D43" w:rsidP="00D81A86">
      <w:pPr>
        <w:numPr>
          <w:ilvl w:val="1"/>
          <w:numId w:val="26"/>
        </w:numPr>
        <w:rPr>
          <w:lang w:val="de-DE"/>
        </w:rPr>
      </w:pPr>
      <w:r w:rsidRPr="00584D43">
        <w:rPr>
          <w:lang w:val="de-DE"/>
        </w:rPr>
        <w:t xml:space="preserve">dass bei manchen Infektionen die Antibiotikatherapie </w:t>
      </w:r>
      <w:r>
        <w:rPr>
          <w:lang w:val="de-DE"/>
        </w:rPr>
        <w:t>nicht zur „Best Practice“ gehört</w:t>
      </w:r>
      <w:r w:rsidRPr="00584D43">
        <w:rPr>
          <w:lang w:val="de-DE"/>
        </w:rPr>
        <w:t xml:space="preserve"> (z.B. </w:t>
      </w:r>
      <w:r>
        <w:rPr>
          <w:lang w:val="de-DE"/>
        </w:rPr>
        <w:t>Spaltung und Drainage von Abszessen, Entfernung von Fremdkörpern)</w:t>
      </w:r>
    </w:p>
    <w:p w14:paraId="2B9997AE" w14:textId="443BBB4E" w:rsidR="00D81A86" w:rsidRPr="001F23FD" w:rsidRDefault="00D81A86" w:rsidP="00D81A86">
      <w:pPr>
        <w:rPr>
          <w:lang w:val="de-DE"/>
        </w:rPr>
      </w:pPr>
    </w:p>
    <w:p w14:paraId="428D8444" w14:textId="77777777" w:rsidR="003C7131" w:rsidRPr="001F23FD" w:rsidRDefault="003C7131" w:rsidP="00D81A86">
      <w:pPr>
        <w:rPr>
          <w:lang w:val="de-DE"/>
        </w:rPr>
      </w:pPr>
    </w:p>
    <w:p w14:paraId="2DD79D26" w14:textId="1A4684C1" w:rsidR="008E503E" w:rsidRPr="008E503E" w:rsidRDefault="008E503E" w:rsidP="00D81A86">
      <w:pPr>
        <w:numPr>
          <w:ilvl w:val="0"/>
          <w:numId w:val="26"/>
        </w:numPr>
        <w:rPr>
          <w:lang w:val="de-DE"/>
        </w:rPr>
      </w:pPr>
      <w:r w:rsidRPr="008E503E">
        <w:rPr>
          <w:lang w:val="de-DE"/>
        </w:rPr>
        <w:t xml:space="preserve">Jeder unabhängige Verordner muss wissen, wie er das entsprechende Antibiotikum auswählt; </w:t>
      </w:r>
      <w:r>
        <w:rPr>
          <w:lang w:val="de-DE"/>
        </w:rPr>
        <w:t>wenn möglich, müssen</w:t>
      </w:r>
      <w:r w:rsidRPr="008E503E">
        <w:rPr>
          <w:lang w:val="de-DE"/>
        </w:rPr>
        <w:t xml:space="preserve"> die entsprechenden Leitlinien </w:t>
      </w:r>
      <w:r>
        <w:rPr>
          <w:lang w:val="de-DE"/>
        </w:rPr>
        <w:t>sowie die Grundsätze zur Verschreibung eines Antibiotikums angewandt werden:</w:t>
      </w:r>
    </w:p>
    <w:p w14:paraId="54BEED3E" w14:textId="44892A85" w:rsidR="008E503E" w:rsidRDefault="008E503E" w:rsidP="00D81A86">
      <w:pPr>
        <w:numPr>
          <w:ilvl w:val="0"/>
          <w:numId w:val="1"/>
        </w:numPr>
        <w:rPr>
          <w:lang w:val="de-DE"/>
        </w:rPr>
      </w:pPr>
      <w:r w:rsidRPr="008E503E">
        <w:rPr>
          <w:lang w:val="de-DE"/>
        </w:rPr>
        <w:t>Anforderung entsprechender mikrobiologischer Kulturen</w:t>
      </w:r>
      <w:r>
        <w:rPr>
          <w:lang w:val="de-DE"/>
        </w:rPr>
        <w:t xml:space="preserve"> oder T</w:t>
      </w:r>
      <w:r w:rsidRPr="008E503E">
        <w:rPr>
          <w:lang w:val="de-DE"/>
        </w:rPr>
        <w:t xml:space="preserve">ests vor </w:t>
      </w:r>
      <w:r>
        <w:rPr>
          <w:lang w:val="de-DE"/>
        </w:rPr>
        <w:t>Anwendung</w:t>
      </w:r>
    </w:p>
    <w:p w14:paraId="17EB9A3F" w14:textId="4E80B0E0" w:rsidR="008E503E" w:rsidRDefault="008E503E" w:rsidP="00D81A86">
      <w:pPr>
        <w:numPr>
          <w:ilvl w:val="0"/>
          <w:numId w:val="1"/>
        </w:numPr>
        <w:rPr>
          <w:lang w:val="de-DE"/>
        </w:rPr>
      </w:pPr>
      <w:r>
        <w:rPr>
          <w:lang w:val="de-DE"/>
        </w:rPr>
        <w:t>Zeitliche Koordinierung der Antibiotikagabe in verschiedenen Situationen (z.B. so schnell wie möglich bei lebensbedrohlichen Infektionen, weniger dringlich bei chronischen Knocheninfektionen)</w:t>
      </w:r>
    </w:p>
    <w:p w14:paraId="605C42EF" w14:textId="5612C487" w:rsidR="008E503E" w:rsidRDefault="008E503E" w:rsidP="00D81A86">
      <w:pPr>
        <w:numPr>
          <w:ilvl w:val="0"/>
          <w:numId w:val="1"/>
        </w:numPr>
        <w:rPr>
          <w:lang w:val="de-DE"/>
        </w:rPr>
      </w:pPr>
      <w:r>
        <w:rPr>
          <w:lang w:val="de-DE"/>
        </w:rPr>
        <w:t>Wahl und Dosis des Wirkstoffs und Darreichungsform</w:t>
      </w:r>
    </w:p>
    <w:p w14:paraId="290A53F9" w14:textId="3209D823" w:rsidR="008E503E" w:rsidRPr="008E503E" w:rsidRDefault="008E503E" w:rsidP="00D81A86">
      <w:pPr>
        <w:numPr>
          <w:ilvl w:val="0"/>
          <w:numId w:val="1"/>
        </w:numPr>
        <w:rPr>
          <w:lang w:val="de-DE"/>
        </w:rPr>
      </w:pPr>
      <w:r>
        <w:rPr>
          <w:lang w:val="de-DE"/>
        </w:rPr>
        <w:t>Dauer der Behandlung, Zeitpunkt der Zwischenbeurteilung und Ende der Anwendung</w:t>
      </w:r>
    </w:p>
    <w:p w14:paraId="0F4C0001" w14:textId="4A17F1E1" w:rsidR="00D81A86" w:rsidRPr="001F23FD" w:rsidRDefault="00D81A86" w:rsidP="00D81A86">
      <w:pPr>
        <w:rPr>
          <w:lang w:val="de-DE"/>
        </w:rPr>
      </w:pPr>
    </w:p>
    <w:p w14:paraId="13A72207" w14:textId="77777777" w:rsidR="003C7131" w:rsidRPr="001F23FD" w:rsidRDefault="003C7131" w:rsidP="00D81A86">
      <w:pPr>
        <w:rPr>
          <w:lang w:val="de-DE"/>
        </w:rPr>
      </w:pPr>
    </w:p>
    <w:p w14:paraId="28291A92" w14:textId="754B2B01" w:rsidR="00C74304" w:rsidRPr="00C74304" w:rsidRDefault="00C74304" w:rsidP="00D81A86">
      <w:pPr>
        <w:numPr>
          <w:ilvl w:val="0"/>
          <w:numId w:val="26"/>
        </w:numPr>
        <w:rPr>
          <w:lang w:val="de-DE"/>
        </w:rPr>
      </w:pPr>
      <w:r w:rsidRPr="00C74304">
        <w:rPr>
          <w:lang w:val="de-DE"/>
        </w:rPr>
        <w:t xml:space="preserve">Jeder unabhängige Verordner muss die Grundprinzipien des Fortsetzens und der </w:t>
      </w:r>
      <w:r w:rsidR="00CB2408">
        <w:rPr>
          <w:lang w:val="de-DE"/>
        </w:rPr>
        <w:t>Rationalisierung der Antibiotikatherapie kennen und verstehen:</w:t>
      </w:r>
    </w:p>
    <w:p w14:paraId="5FBDC56A" w14:textId="344BC052" w:rsidR="00CB2408" w:rsidRDefault="00CB2408" w:rsidP="00D81A86">
      <w:pPr>
        <w:numPr>
          <w:ilvl w:val="0"/>
          <w:numId w:val="3"/>
        </w:numPr>
        <w:rPr>
          <w:lang w:val="de-DE"/>
        </w:rPr>
      </w:pPr>
      <w:r w:rsidRPr="00CB2408">
        <w:rPr>
          <w:lang w:val="de-DE"/>
        </w:rPr>
        <w:t xml:space="preserve">Überwachung des Antibiotikagehaltes, wenn dies indiziert ist, und Anpassung der Dosis (z.B. </w:t>
      </w:r>
      <w:r>
        <w:rPr>
          <w:lang w:val="de-DE"/>
        </w:rPr>
        <w:t>bei Patienten mit eingeschränkter Nierenfunktion)</w:t>
      </w:r>
    </w:p>
    <w:p w14:paraId="63D9C447" w14:textId="35F81BAF" w:rsidR="00CB2408" w:rsidRDefault="00CB2408" w:rsidP="00D81A86">
      <w:pPr>
        <w:numPr>
          <w:ilvl w:val="0"/>
          <w:numId w:val="3"/>
        </w:numPr>
        <w:rPr>
          <w:lang w:val="de-DE"/>
        </w:rPr>
      </w:pPr>
      <w:r>
        <w:rPr>
          <w:lang w:val="de-DE"/>
        </w:rPr>
        <w:t>Antibiotikawechsel basierend auf den Ergebnissen der mikrobiologischen Untersuchung und dem klinischen Zustand, idealerweise zu einem schmaleren Spektrum (Deeskalation) oder – wenn erforderlich – zu einem breiteren Spektrum (Eskalation)</w:t>
      </w:r>
    </w:p>
    <w:p w14:paraId="0A4ACDF6" w14:textId="6287044E" w:rsidR="00CB2408" w:rsidRPr="00CB2408" w:rsidRDefault="00CB2408" w:rsidP="00D81A86">
      <w:pPr>
        <w:numPr>
          <w:ilvl w:val="0"/>
          <w:numId w:val="3"/>
        </w:numPr>
        <w:rPr>
          <w:lang w:val="de-DE"/>
        </w:rPr>
      </w:pPr>
      <w:r>
        <w:rPr>
          <w:lang w:val="de-DE"/>
        </w:rPr>
        <w:t>Zwischenbeurteilung des Antibiotikaansprechens nach 48-72 Stunden und danach in regelmäßigen Abständen bei stationären Patienten</w:t>
      </w:r>
      <w:r w:rsidR="00A6432E">
        <w:rPr>
          <w:lang w:val="de-DE"/>
        </w:rPr>
        <w:t xml:space="preserve"> und entsprechend </w:t>
      </w:r>
      <w:r w:rsidR="00084367">
        <w:rPr>
          <w:lang w:val="de-DE"/>
        </w:rPr>
        <w:t>in Gemeinschaftseinrichtungen</w:t>
      </w:r>
    </w:p>
    <w:p w14:paraId="32A39E76" w14:textId="1E46333D" w:rsidR="00D81A86" w:rsidRDefault="00084367" w:rsidP="00D81A86">
      <w:pPr>
        <w:numPr>
          <w:ilvl w:val="0"/>
          <w:numId w:val="3"/>
        </w:numPr>
        <w:rPr>
          <w:lang w:val="de-DE"/>
        </w:rPr>
      </w:pPr>
      <w:r>
        <w:rPr>
          <w:lang w:val="de-DE"/>
        </w:rPr>
        <w:t xml:space="preserve">Schnellstmögliches </w:t>
      </w:r>
      <w:r w:rsidRPr="00084367">
        <w:rPr>
          <w:lang w:val="de-DE"/>
        </w:rPr>
        <w:t>Umstellen der Antibiotikatherapie von intravenöser zu oraler Gabe</w:t>
      </w:r>
      <w:r>
        <w:rPr>
          <w:lang w:val="de-DE"/>
        </w:rPr>
        <w:t xml:space="preserve"> (gemäß Richtlinien)</w:t>
      </w:r>
    </w:p>
    <w:p w14:paraId="062863F6" w14:textId="0E4D3352" w:rsidR="00084367" w:rsidRPr="00084367" w:rsidRDefault="00084367" w:rsidP="00D81A86">
      <w:pPr>
        <w:numPr>
          <w:ilvl w:val="0"/>
          <w:numId w:val="3"/>
        </w:numPr>
        <w:rPr>
          <w:lang w:val="de-DE"/>
        </w:rPr>
      </w:pPr>
      <w:r>
        <w:rPr>
          <w:lang w:val="de-DE"/>
        </w:rPr>
        <w:lastRenderedPageBreak/>
        <w:t xml:space="preserve">Unterbrechung der Antibiotikagabe bei fehlendem Nachweis einer Infektion basierend auf klinischen Befunden und Untersuchungsergebnissen (z.B. negative </w:t>
      </w:r>
      <w:proofErr w:type="spellStart"/>
      <w:r>
        <w:rPr>
          <w:lang w:val="de-DE"/>
        </w:rPr>
        <w:t>Mikrobenkulturen</w:t>
      </w:r>
      <w:proofErr w:type="spellEnd"/>
      <w:r>
        <w:rPr>
          <w:lang w:val="de-DE"/>
        </w:rPr>
        <w:t>, Bildgebungen)</w:t>
      </w:r>
    </w:p>
    <w:p w14:paraId="196BE107" w14:textId="0DD11F7E" w:rsidR="00D81A86" w:rsidRPr="001F23FD" w:rsidRDefault="00D81A86" w:rsidP="00D81A86">
      <w:pPr>
        <w:rPr>
          <w:lang w:val="de-DE"/>
        </w:rPr>
      </w:pPr>
    </w:p>
    <w:p w14:paraId="2AB1DA0D" w14:textId="77777777" w:rsidR="003C7131" w:rsidRPr="001F23FD" w:rsidRDefault="003C7131" w:rsidP="00D81A86">
      <w:pPr>
        <w:rPr>
          <w:lang w:val="de-DE"/>
        </w:rPr>
      </w:pPr>
    </w:p>
    <w:p w14:paraId="2BEA3170" w14:textId="7650D2B2" w:rsidR="009C1E36" w:rsidRPr="009C1E36" w:rsidRDefault="009C1E36" w:rsidP="00D81A86">
      <w:pPr>
        <w:numPr>
          <w:ilvl w:val="0"/>
          <w:numId w:val="26"/>
        </w:numPr>
        <w:rPr>
          <w:lang w:val="de-DE"/>
        </w:rPr>
      </w:pPr>
      <w:r w:rsidRPr="009C1E36">
        <w:rPr>
          <w:lang w:val="de-DE"/>
        </w:rPr>
        <w:t xml:space="preserve">Jeder unabhängige Verordner muss die Notwendigkeit kennen und verstehen, dass wichtige Details zur Antibiotikabehandlung </w:t>
      </w:r>
      <w:r w:rsidR="00322F44">
        <w:rPr>
          <w:lang w:val="de-DE"/>
        </w:rPr>
        <w:t>im Medikationsplan, in der Patientenakte und den Überweisungs-/</w:t>
      </w:r>
      <w:proofErr w:type="spellStart"/>
      <w:r w:rsidR="00322F44">
        <w:rPr>
          <w:lang w:val="de-DE"/>
        </w:rPr>
        <w:t>Entlasspapieren</w:t>
      </w:r>
      <w:proofErr w:type="spellEnd"/>
      <w:r w:rsidR="00322F44">
        <w:rPr>
          <w:lang w:val="de-DE"/>
        </w:rPr>
        <w:t xml:space="preserve"> </w:t>
      </w:r>
      <w:r w:rsidRPr="009C1E36">
        <w:rPr>
          <w:lang w:val="de-DE"/>
        </w:rPr>
        <w:t xml:space="preserve">dokumentiert werden müssen (z.B. </w:t>
      </w:r>
      <w:r>
        <w:rPr>
          <w:lang w:val="de-DE"/>
        </w:rPr>
        <w:t xml:space="preserve">Wirkstoff, Dosierung, Darreichungsform, klinische Indikation, Dauer und Zwischenbeurteilung) </w:t>
      </w:r>
    </w:p>
    <w:p w14:paraId="76035BF7" w14:textId="0406DDD2" w:rsidR="00D81A86" w:rsidRPr="001F23FD" w:rsidRDefault="00D81A86" w:rsidP="00D81A86">
      <w:pPr>
        <w:rPr>
          <w:lang w:val="de-DE"/>
        </w:rPr>
      </w:pPr>
    </w:p>
    <w:p w14:paraId="16788481" w14:textId="77777777" w:rsidR="003C7131" w:rsidRPr="001F23FD" w:rsidRDefault="003C7131" w:rsidP="00D81A86">
      <w:pPr>
        <w:rPr>
          <w:lang w:val="de-DE"/>
        </w:rPr>
      </w:pPr>
    </w:p>
    <w:p w14:paraId="15AFF6F2" w14:textId="0B623268" w:rsidR="00322F44" w:rsidRPr="00322F44" w:rsidRDefault="00322F44" w:rsidP="00D81A86">
      <w:pPr>
        <w:numPr>
          <w:ilvl w:val="0"/>
          <w:numId w:val="26"/>
        </w:numPr>
        <w:rPr>
          <w:bCs/>
          <w:lang w:val="de-DE"/>
        </w:rPr>
      </w:pPr>
      <w:r w:rsidRPr="00322F44">
        <w:rPr>
          <w:bCs/>
          <w:lang w:val="de-DE"/>
        </w:rPr>
        <w:t>Jeder unabhängige Verordner muss</w:t>
      </w:r>
    </w:p>
    <w:p w14:paraId="3A27B112" w14:textId="51F82D39" w:rsidR="00322F44" w:rsidRDefault="00322F44" w:rsidP="00D81A86">
      <w:pPr>
        <w:numPr>
          <w:ilvl w:val="1"/>
          <w:numId w:val="26"/>
        </w:numPr>
        <w:rPr>
          <w:lang w:val="de-DE"/>
        </w:rPr>
      </w:pPr>
      <w:r>
        <w:rPr>
          <w:lang w:val="de-DE"/>
        </w:rPr>
        <w:t xml:space="preserve">wissen, </w:t>
      </w:r>
      <w:r w:rsidRPr="00322F44">
        <w:rPr>
          <w:lang w:val="de-DE"/>
        </w:rPr>
        <w:t>dass sich die empirische Behandlung an lokalen Antibiotikaresistenzmustern orientieren muss</w:t>
      </w:r>
    </w:p>
    <w:p w14:paraId="267B41BB" w14:textId="39CFF916" w:rsidR="00322F44" w:rsidRDefault="00322F44" w:rsidP="00D81A86">
      <w:pPr>
        <w:numPr>
          <w:ilvl w:val="1"/>
          <w:numId w:val="26"/>
        </w:numPr>
        <w:rPr>
          <w:lang w:val="de-DE"/>
        </w:rPr>
      </w:pPr>
      <w:r>
        <w:rPr>
          <w:lang w:val="de-DE"/>
        </w:rPr>
        <w:t>das klinisch relevante Wirkspektrum üblicherweise verschriebener Antibiotika kennen</w:t>
      </w:r>
    </w:p>
    <w:p w14:paraId="61955FB3" w14:textId="5A7368B8" w:rsidR="00322F44" w:rsidRPr="00322F44" w:rsidRDefault="00322F44" w:rsidP="00D81A86">
      <w:pPr>
        <w:numPr>
          <w:ilvl w:val="1"/>
          <w:numId w:val="26"/>
        </w:numPr>
        <w:rPr>
          <w:lang w:val="de-DE"/>
        </w:rPr>
      </w:pPr>
      <w:r>
        <w:rPr>
          <w:lang w:val="de-DE"/>
        </w:rPr>
        <w:t xml:space="preserve">die Grundprinzipien der Pharmakokinetik und Pharmakodynamik </w:t>
      </w:r>
    </w:p>
    <w:p w14:paraId="03C70C27" w14:textId="287FF9B8" w:rsidR="00D81A86" w:rsidRPr="001F23FD" w:rsidRDefault="00D81A86" w:rsidP="00D81A86">
      <w:pPr>
        <w:rPr>
          <w:lang w:val="de-DE"/>
        </w:rPr>
      </w:pPr>
    </w:p>
    <w:p w14:paraId="509BCBCE" w14:textId="77777777" w:rsidR="003C7131" w:rsidRPr="001F23FD" w:rsidRDefault="003C7131" w:rsidP="00D81A86">
      <w:pPr>
        <w:rPr>
          <w:lang w:val="de-DE"/>
        </w:rPr>
      </w:pPr>
    </w:p>
    <w:p w14:paraId="18853BBB" w14:textId="4A512317" w:rsidR="00322F44" w:rsidRPr="00322F44" w:rsidRDefault="00322F44" w:rsidP="00D81A86">
      <w:pPr>
        <w:numPr>
          <w:ilvl w:val="0"/>
          <w:numId w:val="26"/>
        </w:numPr>
        <w:rPr>
          <w:lang w:val="de-DE"/>
        </w:rPr>
      </w:pPr>
      <w:r w:rsidRPr="00322F44">
        <w:rPr>
          <w:lang w:val="de-DE"/>
        </w:rPr>
        <w:t>Bei Verschreibung eines Antibiotikums muss jeder unabhängige Verordner</w:t>
      </w:r>
    </w:p>
    <w:p w14:paraId="25BBFF00" w14:textId="621071E1" w:rsidR="00322F44" w:rsidRPr="001650E1" w:rsidRDefault="001650E1" w:rsidP="00D81A86">
      <w:pPr>
        <w:numPr>
          <w:ilvl w:val="1"/>
          <w:numId w:val="26"/>
        </w:numPr>
        <w:rPr>
          <w:lang w:val="de-DE"/>
        </w:rPr>
      </w:pPr>
      <w:r w:rsidRPr="001650E1">
        <w:rPr>
          <w:lang w:val="de-DE"/>
        </w:rPr>
        <w:t>die Antibiotikaklasse kennen, zu der der Wirkstoff gehört, sowie die Kontraindikationen der Anwendung</w:t>
      </w:r>
    </w:p>
    <w:p w14:paraId="1DC32288" w14:textId="0E8C6648" w:rsidR="001650E1" w:rsidRPr="001650E1" w:rsidRDefault="001650E1" w:rsidP="00D81A86">
      <w:pPr>
        <w:numPr>
          <w:ilvl w:val="1"/>
          <w:numId w:val="26"/>
        </w:numPr>
        <w:rPr>
          <w:lang w:val="de-DE"/>
        </w:rPr>
      </w:pPr>
      <w:r>
        <w:rPr>
          <w:lang w:val="de-DE"/>
        </w:rPr>
        <w:t>den Namen und die Klasse des verschriebenen Antibiotikums kennen, wenn das Rezept auf den Handelsnamen ausgestellt ist</w:t>
      </w:r>
    </w:p>
    <w:p w14:paraId="2C9F0E52" w14:textId="03E66E03" w:rsidR="00D81A86" w:rsidRPr="001F23FD" w:rsidRDefault="00D81A86" w:rsidP="00D81A86">
      <w:pPr>
        <w:rPr>
          <w:lang w:val="de-DE"/>
        </w:rPr>
      </w:pPr>
    </w:p>
    <w:p w14:paraId="3A172A34" w14:textId="77777777" w:rsidR="003C7131" w:rsidRPr="001F23FD" w:rsidRDefault="003C7131" w:rsidP="00D81A86">
      <w:pPr>
        <w:rPr>
          <w:lang w:val="de-DE"/>
        </w:rPr>
      </w:pPr>
    </w:p>
    <w:p w14:paraId="3B3CA063" w14:textId="24941114" w:rsidR="001650E1" w:rsidRPr="005C7A73" w:rsidRDefault="005C7A73" w:rsidP="00D81A86">
      <w:pPr>
        <w:numPr>
          <w:ilvl w:val="0"/>
          <w:numId w:val="26"/>
        </w:numPr>
        <w:rPr>
          <w:bCs/>
          <w:lang w:val="de-DE"/>
        </w:rPr>
      </w:pPr>
      <w:r w:rsidRPr="005C7A73">
        <w:rPr>
          <w:bCs/>
          <w:lang w:val="de-DE"/>
        </w:rPr>
        <w:t xml:space="preserve">Jeder unabhängige Verordner muss um die Einzeldosisverabreichung zur Prophylaxe bei chirurgischen </w:t>
      </w:r>
      <w:r>
        <w:rPr>
          <w:bCs/>
          <w:lang w:val="de-DE"/>
        </w:rPr>
        <w:t xml:space="preserve">Eingriffen </w:t>
      </w:r>
      <w:r w:rsidRPr="005C7A73">
        <w:rPr>
          <w:bCs/>
          <w:lang w:val="de-DE"/>
        </w:rPr>
        <w:t>und anderen Verfahren wi</w:t>
      </w:r>
      <w:r>
        <w:rPr>
          <w:bCs/>
          <w:lang w:val="de-DE"/>
        </w:rPr>
        <w:t>ssen, bei denen sich eine Prophylaxe als wirksam erwiesen hat, und dass gelegentlich zusätzliche Antibiotikagabe zur Prophylaxe erforderlich sein kann (z.B. bei verlängerter Operationsdauer).</w:t>
      </w:r>
    </w:p>
    <w:p w14:paraId="17519FEC" w14:textId="25BAE0D0" w:rsidR="00D81A86" w:rsidRPr="001F23FD" w:rsidRDefault="00D81A86" w:rsidP="00D81A86">
      <w:pPr>
        <w:rPr>
          <w:lang w:val="de-DE"/>
        </w:rPr>
      </w:pPr>
    </w:p>
    <w:p w14:paraId="0D4F4FD3" w14:textId="77777777" w:rsidR="003C7131" w:rsidRPr="001F23FD" w:rsidRDefault="003C7131" w:rsidP="00D81A86">
      <w:pPr>
        <w:rPr>
          <w:lang w:val="de-DE"/>
        </w:rPr>
      </w:pPr>
    </w:p>
    <w:p w14:paraId="5F5FF64B" w14:textId="7F7886C4" w:rsidR="005C7A73" w:rsidRPr="005C7A73" w:rsidRDefault="005C7A73" w:rsidP="00D81A86">
      <w:pPr>
        <w:numPr>
          <w:ilvl w:val="0"/>
          <w:numId w:val="26"/>
        </w:numPr>
        <w:rPr>
          <w:bCs/>
        </w:rPr>
      </w:pPr>
      <w:proofErr w:type="spellStart"/>
      <w:r>
        <w:rPr>
          <w:bCs/>
        </w:rPr>
        <w:t>Jeder</w:t>
      </w:r>
      <w:proofErr w:type="spellEnd"/>
      <w:r>
        <w:rPr>
          <w:bCs/>
        </w:rPr>
        <w:t xml:space="preserve"> </w:t>
      </w:r>
      <w:proofErr w:type="spellStart"/>
      <w:r>
        <w:rPr>
          <w:bCs/>
        </w:rPr>
        <w:t>unabhängige</w:t>
      </w:r>
      <w:proofErr w:type="spellEnd"/>
      <w:r>
        <w:rPr>
          <w:bCs/>
        </w:rPr>
        <w:t xml:space="preserve"> </w:t>
      </w:r>
      <w:proofErr w:type="spellStart"/>
      <w:r>
        <w:rPr>
          <w:bCs/>
        </w:rPr>
        <w:t>Verordner</w:t>
      </w:r>
      <w:proofErr w:type="spellEnd"/>
      <w:r>
        <w:rPr>
          <w:bCs/>
        </w:rPr>
        <w:t xml:space="preserve"> muss</w:t>
      </w:r>
    </w:p>
    <w:p w14:paraId="50676ED7" w14:textId="73784787" w:rsidR="00D81A86" w:rsidRPr="005C7A73" w:rsidRDefault="005C7A73" w:rsidP="00D81A86">
      <w:pPr>
        <w:numPr>
          <w:ilvl w:val="1"/>
          <w:numId w:val="26"/>
        </w:numPr>
        <w:rPr>
          <w:lang w:val="de-DE"/>
        </w:rPr>
      </w:pPr>
      <w:r w:rsidRPr="005C7A73">
        <w:rPr>
          <w:bCs/>
          <w:lang w:val="de-DE"/>
        </w:rPr>
        <w:t>die gängigen Wechselwirkungen zwischen Antibiotika und anderen Medikamenten/Nahrungsmitteln kennen</w:t>
      </w:r>
    </w:p>
    <w:p w14:paraId="685CF6BC" w14:textId="2D8C57F9" w:rsidR="005C7A73" w:rsidRPr="005C7A73" w:rsidRDefault="005C7A73" w:rsidP="00D81A86">
      <w:pPr>
        <w:numPr>
          <w:ilvl w:val="1"/>
          <w:numId w:val="26"/>
        </w:numPr>
        <w:rPr>
          <w:lang w:val="de-DE"/>
        </w:rPr>
      </w:pPr>
      <w:r>
        <w:rPr>
          <w:bCs/>
          <w:lang w:val="de-DE"/>
        </w:rPr>
        <w:t>die häufig auftretenden Nebenwirkungen von Antibiotika kennen, einschließlich Allergien, wie sie zu überwachen sind und was zu tun ist, wenn der Verdacht aufkommt (z.B. Dokumentation allergischer Reaktion in der Patientenakte, Berichterstattung über Nebenwirkungen)</w:t>
      </w:r>
    </w:p>
    <w:p w14:paraId="3C19CE39" w14:textId="36B61756" w:rsidR="00D81A86" w:rsidRPr="001F23FD" w:rsidRDefault="00D81A86" w:rsidP="00D81A86">
      <w:pPr>
        <w:rPr>
          <w:lang w:val="de-DE"/>
        </w:rPr>
      </w:pPr>
    </w:p>
    <w:p w14:paraId="02AA153D" w14:textId="77777777" w:rsidR="003C7131" w:rsidRPr="001F23FD" w:rsidRDefault="003C7131" w:rsidP="00D81A86">
      <w:pPr>
        <w:rPr>
          <w:lang w:val="de-DE"/>
        </w:rPr>
      </w:pPr>
    </w:p>
    <w:p w14:paraId="7C17B8DB" w14:textId="23524EA5" w:rsidR="005C7A73" w:rsidRPr="005C7A73" w:rsidRDefault="005C7A73" w:rsidP="00D81A86">
      <w:pPr>
        <w:numPr>
          <w:ilvl w:val="0"/>
          <w:numId w:val="26"/>
        </w:numPr>
        <w:rPr>
          <w:lang w:val="de-DE"/>
        </w:rPr>
      </w:pPr>
      <w:r w:rsidRPr="005C7A73">
        <w:rPr>
          <w:lang w:val="de-DE"/>
        </w:rPr>
        <w:t xml:space="preserve">Jeder unabhängige Verordner muss die rechtlichen </w:t>
      </w:r>
      <w:r>
        <w:rPr>
          <w:lang w:val="de-DE"/>
        </w:rPr>
        <w:t>Vorgaben zur Antibiotikaverschreibung im eigenen Land kennen und verstehen und sie bei der Ausstellung der entsprechenden Rezepte einhalten.</w:t>
      </w:r>
    </w:p>
    <w:p w14:paraId="0C90F01F" w14:textId="77777777" w:rsidR="00D81A86" w:rsidRPr="001F23FD" w:rsidRDefault="00D81A86" w:rsidP="00D81A86">
      <w:pPr>
        <w:rPr>
          <w:b/>
          <w:lang w:val="de-DE"/>
        </w:rPr>
      </w:pPr>
    </w:p>
    <w:p w14:paraId="2F589FAB" w14:textId="77777777" w:rsidR="00D81A86" w:rsidRPr="001F23FD" w:rsidRDefault="00D81A86" w:rsidP="00D81A86">
      <w:pPr>
        <w:rPr>
          <w:b/>
          <w:lang w:val="de-DE"/>
        </w:rPr>
      </w:pPr>
    </w:p>
    <w:p w14:paraId="75F224C1" w14:textId="57744802" w:rsidR="00D81A86" w:rsidRDefault="001F62D8" w:rsidP="00D81A86">
      <w:pPr>
        <w:rPr>
          <w:b/>
        </w:rPr>
      </w:pPr>
      <w:proofErr w:type="spellStart"/>
      <w:r>
        <w:rPr>
          <w:b/>
        </w:rPr>
        <w:t>Abschnitt</w:t>
      </w:r>
      <w:proofErr w:type="spellEnd"/>
      <w:r w:rsidR="00D81A86" w:rsidRPr="00EF35DC">
        <w:rPr>
          <w:b/>
        </w:rPr>
        <w:t xml:space="preserve"> 3: Anti</w:t>
      </w:r>
      <w:r>
        <w:rPr>
          <w:b/>
        </w:rPr>
        <w:t>biotic S</w:t>
      </w:r>
      <w:r w:rsidR="00D81A86" w:rsidRPr="00EF35DC">
        <w:rPr>
          <w:b/>
        </w:rPr>
        <w:t>tewardship</w:t>
      </w:r>
    </w:p>
    <w:p w14:paraId="4994EB1E" w14:textId="77777777" w:rsidR="003C7131" w:rsidRPr="00EF35DC" w:rsidRDefault="003C7131" w:rsidP="00D81A86">
      <w:pPr>
        <w:rPr>
          <w:b/>
        </w:rPr>
      </w:pPr>
    </w:p>
    <w:p w14:paraId="22FB4820" w14:textId="1D0AAD79" w:rsidR="001F62D8" w:rsidRPr="001F62D8" w:rsidRDefault="001F62D8" w:rsidP="00D81A86">
      <w:pPr>
        <w:numPr>
          <w:ilvl w:val="0"/>
          <w:numId w:val="31"/>
        </w:numPr>
        <w:rPr>
          <w:lang w:val="de-DE"/>
        </w:rPr>
      </w:pPr>
      <w:r w:rsidRPr="001F62D8">
        <w:rPr>
          <w:lang w:val="de-DE"/>
        </w:rPr>
        <w:t>Jeder unabhängige Verordner muss wissen,</w:t>
      </w:r>
    </w:p>
    <w:p w14:paraId="53143A69" w14:textId="4433C02F" w:rsidR="00FB1CC8" w:rsidRPr="00FB1CC8" w:rsidRDefault="00FB1CC8" w:rsidP="00D81A86">
      <w:pPr>
        <w:numPr>
          <w:ilvl w:val="1"/>
          <w:numId w:val="31"/>
        </w:numPr>
        <w:rPr>
          <w:lang w:val="de-DE"/>
        </w:rPr>
      </w:pPr>
      <w:r w:rsidRPr="00FB1CC8">
        <w:rPr>
          <w:lang w:val="de-DE"/>
        </w:rPr>
        <w:t>dass Antibiotika verantwortungsbewusst eingesetzt werden müssen, um die Entwicklung und Verbreitung von Antibiotikaresistenzen zu vermeiden</w:t>
      </w:r>
    </w:p>
    <w:p w14:paraId="453959B8" w14:textId="05864B01" w:rsidR="00FB1CC8" w:rsidRPr="00FB1CC8" w:rsidRDefault="00FB1CC8" w:rsidP="00D81A86">
      <w:pPr>
        <w:numPr>
          <w:ilvl w:val="1"/>
          <w:numId w:val="31"/>
        </w:numPr>
        <w:rPr>
          <w:lang w:val="de-DE"/>
        </w:rPr>
      </w:pPr>
      <w:r>
        <w:rPr>
          <w:lang w:val="de-DE"/>
        </w:rPr>
        <w:t xml:space="preserve">dass optimaler Antibiotikaeinsatz gängige Nebenwirkungen und behandlungsbedingte negative Begleiterscheinungen begrenzen kann (z.B. Schädigung der gesunden Flora, was zu </w:t>
      </w:r>
      <w:r w:rsidRPr="00FB1CC8">
        <w:rPr>
          <w:i/>
          <w:lang w:val="de-DE"/>
        </w:rPr>
        <w:t>Clostridium-difficile</w:t>
      </w:r>
      <w:r>
        <w:rPr>
          <w:lang w:val="de-DE"/>
        </w:rPr>
        <w:t xml:space="preserve">-Infektion, </w:t>
      </w:r>
      <w:r w:rsidRPr="00FB1CC8">
        <w:rPr>
          <w:i/>
          <w:lang w:val="de-DE"/>
        </w:rPr>
        <w:t>Candida-</w:t>
      </w:r>
      <w:proofErr w:type="spellStart"/>
      <w:r w:rsidRPr="00FB1CC8">
        <w:rPr>
          <w:i/>
          <w:lang w:val="de-DE"/>
        </w:rPr>
        <w:t>spp</w:t>
      </w:r>
      <w:proofErr w:type="spellEnd"/>
      <w:r w:rsidRPr="00FB1CC8">
        <w:rPr>
          <w:i/>
          <w:lang w:val="de-DE"/>
        </w:rPr>
        <w:t>.</w:t>
      </w:r>
      <w:r>
        <w:rPr>
          <w:lang w:val="de-DE"/>
        </w:rPr>
        <w:t>-Superinfektion führen kann)</w:t>
      </w:r>
    </w:p>
    <w:p w14:paraId="3E1C99D0" w14:textId="3BE94709" w:rsidR="00FB1CC8" w:rsidRDefault="00FB1CC8" w:rsidP="00D81A86">
      <w:pPr>
        <w:numPr>
          <w:ilvl w:val="1"/>
          <w:numId w:val="31"/>
        </w:numPr>
        <w:rPr>
          <w:bCs/>
          <w:lang w:val="de-DE"/>
        </w:rPr>
      </w:pPr>
      <w:r w:rsidRPr="00FB1CC8">
        <w:rPr>
          <w:bCs/>
          <w:lang w:val="de-DE"/>
        </w:rPr>
        <w:t>wie wichtig es ist, den unangemessenen Einsatz von Antibiotika zu vermeiden, insbes</w:t>
      </w:r>
      <w:r>
        <w:rPr>
          <w:bCs/>
          <w:lang w:val="de-DE"/>
        </w:rPr>
        <w:t>ondere von Breitbandantibiotika</w:t>
      </w:r>
    </w:p>
    <w:p w14:paraId="5EAD95EB" w14:textId="7602F612" w:rsidR="00FB1CC8" w:rsidRPr="00FB1CC8" w:rsidRDefault="00FB1CC8" w:rsidP="00D81A86">
      <w:pPr>
        <w:numPr>
          <w:ilvl w:val="1"/>
          <w:numId w:val="31"/>
        </w:numPr>
        <w:rPr>
          <w:bCs/>
          <w:lang w:val="de-DE"/>
        </w:rPr>
      </w:pPr>
      <w:r>
        <w:rPr>
          <w:bCs/>
          <w:lang w:val="de-DE"/>
        </w:rPr>
        <w:t>dass die Übertragung von Mikroorganismen/Krankheitserregern bei Menschenansammlungen und im Krankenhaus die Antibiotikaresistenz deutlich erhöhen kann</w:t>
      </w:r>
    </w:p>
    <w:p w14:paraId="4DD02108" w14:textId="51FD7437" w:rsidR="00D81A86" w:rsidRPr="001F23FD" w:rsidRDefault="00D81A86" w:rsidP="00D81A86">
      <w:pPr>
        <w:rPr>
          <w:lang w:val="de-DE"/>
        </w:rPr>
      </w:pPr>
    </w:p>
    <w:p w14:paraId="03603E86" w14:textId="77777777" w:rsidR="003C7131" w:rsidRPr="001F23FD" w:rsidRDefault="003C7131" w:rsidP="00D81A86">
      <w:pPr>
        <w:rPr>
          <w:lang w:val="de-DE"/>
        </w:rPr>
      </w:pPr>
    </w:p>
    <w:p w14:paraId="6AA70114" w14:textId="729444AF" w:rsidR="00FB1CC8" w:rsidRPr="00FB1CC8" w:rsidRDefault="00FB1CC8" w:rsidP="00D81A86">
      <w:pPr>
        <w:numPr>
          <w:ilvl w:val="0"/>
          <w:numId w:val="31"/>
        </w:numPr>
        <w:rPr>
          <w:lang w:val="de-DE"/>
        </w:rPr>
      </w:pPr>
      <w:r w:rsidRPr="00FB1CC8">
        <w:rPr>
          <w:lang w:val="de-DE"/>
        </w:rPr>
        <w:t xml:space="preserve">Jeder unabhängige Verordner muss die lokalen </w:t>
      </w:r>
      <w:proofErr w:type="spellStart"/>
      <w:r w:rsidRPr="00FB1CC8">
        <w:rPr>
          <w:lang w:val="de-DE"/>
        </w:rPr>
        <w:t>Antibiotic</w:t>
      </w:r>
      <w:proofErr w:type="spellEnd"/>
      <w:r w:rsidRPr="00FB1CC8">
        <w:rPr>
          <w:lang w:val="de-DE"/>
        </w:rPr>
        <w:t xml:space="preserve"> Stewardship Regularien kennen und verstehen, die auf nationalen (</w:t>
      </w:r>
      <w:r>
        <w:rPr>
          <w:lang w:val="de-DE"/>
        </w:rPr>
        <w:t>wenn verfügbar, ansonsten</w:t>
      </w:r>
      <w:r w:rsidRPr="00FB1CC8">
        <w:rPr>
          <w:lang w:val="de-DE"/>
        </w:rPr>
        <w:t xml:space="preserve"> </w:t>
      </w:r>
      <w:r>
        <w:rPr>
          <w:lang w:val="de-DE"/>
        </w:rPr>
        <w:t>internationalen) evidenzbasierten Richtlinien gründen.</w:t>
      </w:r>
    </w:p>
    <w:p w14:paraId="64B1BE82" w14:textId="710CBA6F" w:rsidR="00D81A86" w:rsidRPr="001F23FD" w:rsidRDefault="00D81A86" w:rsidP="00D81A86">
      <w:pPr>
        <w:rPr>
          <w:lang w:val="de-DE"/>
        </w:rPr>
      </w:pPr>
    </w:p>
    <w:p w14:paraId="10591AAE" w14:textId="77777777" w:rsidR="003C7131" w:rsidRPr="001F23FD" w:rsidRDefault="003C7131" w:rsidP="00D81A86">
      <w:pPr>
        <w:rPr>
          <w:lang w:val="de-DE"/>
        </w:rPr>
      </w:pPr>
    </w:p>
    <w:p w14:paraId="18EFAFB2" w14:textId="0D6C1A10" w:rsidR="00C15758" w:rsidRPr="00C15758" w:rsidRDefault="00C15758" w:rsidP="00D81A86">
      <w:pPr>
        <w:numPr>
          <w:ilvl w:val="0"/>
          <w:numId w:val="31"/>
        </w:numPr>
        <w:rPr>
          <w:lang w:val="de-DE"/>
        </w:rPr>
      </w:pPr>
      <w:r w:rsidRPr="00C15758">
        <w:rPr>
          <w:lang w:val="de-DE"/>
        </w:rPr>
        <w:t xml:space="preserve">Jeder unabhängige Verordner muss die </w:t>
      </w:r>
      <w:r>
        <w:rPr>
          <w:lang w:val="de-DE"/>
        </w:rPr>
        <w:t>lokalen und nationalen Maßnahmen hinsichtlich des Qualitäts</w:t>
      </w:r>
      <w:r w:rsidRPr="00C15758">
        <w:rPr>
          <w:lang w:val="de-DE"/>
        </w:rPr>
        <w:t>ma</w:t>
      </w:r>
      <w:r>
        <w:rPr>
          <w:lang w:val="de-DE"/>
        </w:rPr>
        <w:t>nagement</w:t>
      </w:r>
      <w:r w:rsidRPr="00C15758">
        <w:rPr>
          <w:lang w:val="de-DE"/>
        </w:rPr>
        <w:t xml:space="preserve"> </w:t>
      </w:r>
      <w:r>
        <w:rPr>
          <w:lang w:val="de-DE"/>
        </w:rPr>
        <w:t xml:space="preserve">zu Antibiotikaverschreibungen </w:t>
      </w:r>
      <w:r w:rsidRPr="00C15758">
        <w:rPr>
          <w:lang w:val="de-DE"/>
        </w:rPr>
        <w:t>kennen und verstehen</w:t>
      </w:r>
      <w:r>
        <w:rPr>
          <w:lang w:val="de-DE"/>
        </w:rPr>
        <w:t xml:space="preserve"> (z.B. Einhaltung der geltenden Richtlinien, Zwischenfälle, Kontrolle der Antibiotikatherapie nach 48 bis 72 Stunden bei stationären Patienten).</w:t>
      </w:r>
    </w:p>
    <w:p w14:paraId="5267D17C" w14:textId="78B83DFF" w:rsidR="00D81A86" w:rsidRPr="001F23FD" w:rsidRDefault="00D81A86" w:rsidP="00D81A86">
      <w:pPr>
        <w:rPr>
          <w:lang w:val="de-DE"/>
        </w:rPr>
      </w:pPr>
    </w:p>
    <w:p w14:paraId="4F2F6A07" w14:textId="77777777" w:rsidR="003C7131" w:rsidRPr="001F23FD" w:rsidRDefault="003C7131" w:rsidP="00D81A86">
      <w:pPr>
        <w:rPr>
          <w:lang w:val="de-DE"/>
        </w:rPr>
      </w:pPr>
    </w:p>
    <w:p w14:paraId="073087FF" w14:textId="4860D01C" w:rsidR="00C15758" w:rsidRPr="00E4045A" w:rsidRDefault="00E4045A" w:rsidP="00D81A86">
      <w:pPr>
        <w:numPr>
          <w:ilvl w:val="0"/>
          <w:numId w:val="31"/>
        </w:numPr>
        <w:rPr>
          <w:lang w:val="de-DE"/>
        </w:rPr>
      </w:pPr>
      <w:r w:rsidRPr="00E4045A">
        <w:rPr>
          <w:lang w:val="de-DE"/>
        </w:rPr>
        <w:t>Jeder unabhängige Verordner muss wissen, wie er mit Patienten und</w:t>
      </w:r>
      <w:r>
        <w:rPr>
          <w:lang w:val="de-DE"/>
        </w:rPr>
        <w:t>/oder</w:t>
      </w:r>
      <w:r w:rsidRPr="00E4045A">
        <w:rPr>
          <w:lang w:val="de-DE"/>
        </w:rPr>
        <w:t xml:space="preserve"> deren Betreuer</w:t>
      </w:r>
      <w:r>
        <w:rPr>
          <w:lang w:val="de-DE"/>
        </w:rPr>
        <w:t>, Pflegepersonal, Apothekern und anderen Beteiligten im Gesundheitswesen dahingehend kommuniziert,</w:t>
      </w:r>
    </w:p>
    <w:p w14:paraId="0AA1E249" w14:textId="77777777" w:rsidR="00E4045A" w:rsidRPr="00E4045A" w:rsidRDefault="00E4045A" w:rsidP="00D81A86">
      <w:pPr>
        <w:numPr>
          <w:ilvl w:val="1"/>
          <w:numId w:val="31"/>
        </w:numPr>
        <w:rPr>
          <w:lang w:val="de-DE"/>
        </w:rPr>
      </w:pPr>
      <w:r w:rsidRPr="00E4045A">
        <w:rPr>
          <w:lang w:val="de-DE"/>
        </w:rPr>
        <w:t>wenn eine Antibiotikatherapie nicht angezeigt ist</w:t>
      </w:r>
    </w:p>
    <w:p w14:paraId="79475110" w14:textId="77777777" w:rsidR="00E4045A" w:rsidRPr="00E4045A" w:rsidRDefault="00E4045A" w:rsidP="00D81A86">
      <w:pPr>
        <w:numPr>
          <w:ilvl w:val="1"/>
          <w:numId w:val="31"/>
        </w:numPr>
        <w:rPr>
          <w:lang w:val="de-DE"/>
        </w:rPr>
      </w:pPr>
      <w:r w:rsidRPr="00E4045A">
        <w:rPr>
          <w:lang w:val="de-DE"/>
        </w:rPr>
        <w:t>dass Dauer und Häufigkeit der Verabreichung der verschriebenen Antibiotika einzuhalten sind</w:t>
      </w:r>
    </w:p>
    <w:p w14:paraId="206995BF" w14:textId="20BB724C" w:rsidR="00D81A86" w:rsidRPr="001F23FD" w:rsidRDefault="00D81A86" w:rsidP="00E4045A">
      <w:pPr>
        <w:ind w:left="792"/>
        <w:rPr>
          <w:lang w:val="de-DE"/>
        </w:rPr>
      </w:pPr>
    </w:p>
    <w:p w14:paraId="459CA8AF" w14:textId="77777777" w:rsidR="003C7131" w:rsidRPr="001F23FD" w:rsidRDefault="003C7131" w:rsidP="00D81A86">
      <w:pPr>
        <w:rPr>
          <w:lang w:val="de-DE"/>
        </w:rPr>
      </w:pPr>
    </w:p>
    <w:p w14:paraId="521C9684" w14:textId="30EAE9F5" w:rsidR="00E4045A" w:rsidRPr="00073C62" w:rsidRDefault="00E4045A" w:rsidP="00D81A86">
      <w:pPr>
        <w:pStyle w:val="Listenabsatz"/>
        <w:numPr>
          <w:ilvl w:val="0"/>
          <w:numId w:val="31"/>
        </w:numPr>
        <w:rPr>
          <w:lang w:val="de-DE"/>
        </w:rPr>
      </w:pPr>
      <w:r w:rsidRPr="00073C62">
        <w:rPr>
          <w:lang w:val="de-DE"/>
        </w:rPr>
        <w:t xml:space="preserve">Jeder unabhängige Verordner </w:t>
      </w:r>
      <w:r w:rsidR="00073C62" w:rsidRPr="00073C62">
        <w:rPr>
          <w:lang w:val="de-DE"/>
        </w:rPr>
        <w:t>muss anerkennen, dass es in seiner Versorgungspflicht liegt, mit anderen, besser au</w:t>
      </w:r>
      <w:r w:rsidR="00073C62">
        <w:rPr>
          <w:lang w:val="de-DE"/>
        </w:rPr>
        <w:t>sgewiesenen Kollegen zusammenzu</w:t>
      </w:r>
      <w:r w:rsidR="00073C62" w:rsidRPr="00073C62">
        <w:rPr>
          <w:lang w:val="de-DE"/>
        </w:rPr>
        <w:t xml:space="preserve">arbeiten, wie z.B. </w:t>
      </w:r>
      <w:r w:rsidR="00073C62">
        <w:rPr>
          <w:lang w:val="de-DE"/>
        </w:rPr>
        <w:t xml:space="preserve">einem </w:t>
      </w:r>
      <w:proofErr w:type="spellStart"/>
      <w:r w:rsidR="00073C62">
        <w:rPr>
          <w:lang w:val="de-DE"/>
        </w:rPr>
        <w:t>Antibiotic</w:t>
      </w:r>
      <w:proofErr w:type="spellEnd"/>
      <w:r w:rsidR="00073C62">
        <w:rPr>
          <w:lang w:val="de-DE"/>
        </w:rPr>
        <w:t xml:space="preserve"> Stewardship Team, wenn eine solche Expertise erforderlich ist.</w:t>
      </w:r>
    </w:p>
    <w:p w14:paraId="3B671324" w14:textId="3B96CFB9" w:rsidR="0031562C" w:rsidRPr="001F23FD" w:rsidRDefault="0031562C" w:rsidP="00D81A86">
      <w:pPr>
        <w:rPr>
          <w:lang w:val="de-DE"/>
        </w:rPr>
      </w:pPr>
    </w:p>
    <w:sectPr w:rsidR="0031562C" w:rsidRPr="001F23FD" w:rsidSect="00926EBE">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41E6" w14:textId="77777777" w:rsidR="005D7D0D" w:rsidRDefault="005D7D0D" w:rsidP="003C1ED1">
      <w:r>
        <w:separator/>
      </w:r>
    </w:p>
  </w:endnote>
  <w:endnote w:type="continuationSeparator" w:id="0">
    <w:p w14:paraId="790AE8CF" w14:textId="77777777" w:rsidR="005D7D0D" w:rsidRDefault="005D7D0D" w:rsidP="003C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À˛">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C3CF" w14:textId="77777777" w:rsidR="009C345E" w:rsidRDefault="009C345E" w:rsidP="00062F7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56E813" w14:textId="77777777" w:rsidR="009C345E" w:rsidRDefault="009C345E" w:rsidP="009C345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A2C9" w14:textId="77777777" w:rsidR="009C345E" w:rsidRDefault="009C345E" w:rsidP="00062F7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43216">
      <w:rPr>
        <w:rStyle w:val="Seitenzahl"/>
        <w:noProof/>
      </w:rPr>
      <w:t>4</w:t>
    </w:r>
    <w:r>
      <w:rPr>
        <w:rStyle w:val="Seitenzahl"/>
      </w:rPr>
      <w:fldChar w:fldCharType="end"/>
    </w:r>
  </w:p>
  <w:p w14:paraId="1E29C699" w14:textId="77777777" w:rsidR="009C345E" w:rsidRDefault="009C345E" w:rsidP="009C345E">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7681" w14:textId="77777777" w:rsidR="005D7D0D" w:rsidRDefault="005D7D0D" w:rsidP="003C1ED1">
      <w:r>
        <w:separator/>
      </w:r>
    </w:p>
  </w:footnote>
  <w:footnote w:type="continuationSeparator" w:id="0">
    <w:p w14:paraId="509D5FF7" w14:textId="77777777" w:rsidR="005D7D0D" w:rsidRDefault="005D7D0D" w:rsidP="003C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ECD7" w14:textId="1A0AEB7D" w:rsidR="007C4E94" w:rsidRDefault="007C4E94" w:rsidP="00C4291A">
    <w:pPr>
      <w:pStyle w:val="Kopfzeile"/>
      <w:jc w:val="right"/>
    </w:pPr>
    <w:r>
      <w:rPr>
        <w:noProof/>
        <w:lang w:val="de-DE" w:eastAsia="de-DE"/>
      </w:rPr>
      <w:drawing>
        <wp:anchor distT="0" distB="0" distL="114300" distR="114300" simplePos="0" relativeHeight="251658240" behindDoc="0" locked="0" layoutInCell="1" allowOverlap="1" wp14:anchorId="5190302D" wp14:editId="4D5C1EDE">
          <wp:simplePos x="0" y="0"/>
          <wp:positionH relativeFrom="column">
            <wp:posOffset>-13012</wp:posOffset>
          </wp:positionH>
          <wp:positionV relativeFrom="paragraph">
            <wp:posOffset>78455</wp:posOffset>
          </wp:positionV>
          <wp:extent cx="25400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MID_Logo_rgb.jpg"/>
                  <pic:cNvPicPr/>
                </pic:nvPicPr>
                <pic:blipFill>
                  <a:blip r:embed="rId1">
                    <a:extLst>
                      <a:ext uri="{28A0092B-C50C-407E-A947-70E740481C1C}">
                        <a14:useLocalDpi xmlns:a14="http://schemas.microsoft.com/office/drawing/2010/main" val="0"/>
                      </a:ext>
                    </a:extLst>
                  </a:blip>
                  <a:stretch>
                    <a:fillRect/>
                  </a:stretch>
                </pic:blipFill>
                <pic:spPr>
                  <a:xfrm>
                    <a:off x="0" y="0"/>
                    <a:ext cx="2540000" cy="368300"/>
                  </a:xfrm>
                  <a:prstGeom prst="rect">
                    <a:avLst/>
                  </a:prstGeom>
                </pic:spPr>
              </pic:pic>
            </a:graphicData>
          </a:graphic>
          <wp14:sizeRelH relativeFrom="page">
            <wp14:pctWidth>0</wp14:pctWidth>
          </wp14:sizeRelH>
          <wp14:sizeRelV relativeFrom="page">
            <wp14:pctHeight>0</wp14:pctHeight>
          </wp14:sizeRelV>
        </wp:anchor>
      </w:drawing>
    </w:r>
  </w:p>
  <w:p w14:paraId="7D5051B6" w14:textId="57C67ECD" w:rsidR="00C4291A" w:rsidRDefault="00C4291A" w:rsidP="00C4291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BE"/>
    <w:multiLevelType w:val="hybridMultilevel"/>
    <w:tmpl w:val="8F8A0D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B721A9"/>
    <w:multiLevelType w:val="multilevel"/>
    <w:tmpl w:val="AE848B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05BE4"/>
    <w:multiLevelType w:val="hybridMultilevel"/>
    <w:tmpl w:val="FE02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67492"/>
    <w:multiLevelType w:val="hybridMultilevel"/>
    <w:tmpl w:val="CA90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65D3"/>
    <w:multiLevelType w:val="hybridMultilevel"/>
    <w:tmpl w:val="52E2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46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D6F11"/>
    <w:multiLevelType w:val="hybridMultilevel"/>
    <w:tmpl w:val="33547D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B245F1"/>
    <w:multiLevelType w:val="hybridMultilevel"/>
    <w:tmpl w:val="0526C4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A43FDF"/>
    <w:multiLevelType w:val="hybridMultilevel"/>
    <w:tmpl w:val="2A20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A34D4"/>
    <w:multiLevelType w:val="hybridMultilevel"/>
    <w:tmpl w:val="6B9A5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C26DD"/>
    <w:multiLevelType w:val="hybridMultilevel"/>
    <w:tmpl w:val="39EC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D50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4A075B"/>
    <w:multiLevelType w:val="hybridMultilevel"/>
    <w:tmpl w:val="CAE8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10376"/>
    <w:multiLevelType w:val="hybridMultilevel"/>
    <w:tmpl w:val="410617AE"/>
    <w:lvl w:ilvl="0" w:tplc="8826A308">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B518B2"/>
    <w:multiLevelType w:val="hybridMultilevel"/>
    <w:tmpl w:val="282C9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36939"/>
    <w:multiLevelType w:val="hybridMultilevel"/>
    <w:tmpl w:val="DB42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77382"/>
    <w:multiLevelType w:val="hybridMultilevel"/>
    <w:tmpl w:val="42B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62D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0909E5"/>
    <w:multiLevelType w:val="hybridMultilevel"/>
    <w:tmpl w:val="6FB6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93B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9B4F87"/>
    <w:multiLevelType w:val="hybridMultilevel"/>
    <w:tmpl w:val="545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92C6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0094D52"/>
    <w:multiLevelType w:val="multilevel"/>
    <w:tmpl w:val="858CD88C"/>
    <w:lvl w:ilvl="0">
      <w:start w:val="1"/>
      <w:numFmt w:val="decimal"/>
      <w:lvlText w:val="%1."/>
      <w:lvlJc w:val="left"/>
      <w:pPr>
        <w:ind w:left="360" w:hanging="360"/>
      </w:pPr>
    </w:lvl>
    <w:lvl w:ilvl="1">
      <w:start w:val="1"/>
      <w:numFmt w:val="decimal"/>
      <w:lvlText w:val="%1.%2."/>
      <w:lvlJc w:val="left"/>
      <w:pPr>
        <w:ind w:left="792" w:hanging="432"/>
      </w:pPr>
      <w:rPr>
        <w:lang w:val="de-D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671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E427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6F0B71"/>
    <w:multiLevelType w:val="hybridMultilevel"/>
    <w:tmpl w:val="63EC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F7357"/>
    <w:multiLevelType w:val="hybridMultilevel"/>
    <w:tmpl w:val="436C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02139"/>
    <w:multiLevelType w:val="hybridMultilevel"/>
    <w:tmpl w:val="9324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A0ED3"/>
    <w:multiLevelType w:val="hybridMultilevel"/>
    <w:tmpl w:val="EAF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250B3"/>
    <w:multiLevelType w:val="multilevel"/>
    <w:tmpl w:val="AE848B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FB0565"/>
    <w:multiLevelType w:val="multilevel"/>
    <w:tmpl w:val="AE848B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2"/>
  </w:num>
  <w:num w:numId="4">
    <w:abstractNumId w:val="13"/>
  </w:num>
  <w:num w:numId="5">
    <w:abstractNumId w:val="9"/>
  </w:num>
  <w:num w:numId="6">
    <w:abstractNumId w:val="15"/>
  </w:num>
  <w:num w:numId="7">
    <w:abstractNumId w:val="0"/>
  </w:num>
  <w:num w:numId="8">
    <w:abstractNumId w:val="7"/>
  </w:num>
  <w:num w:numId="9">
    <w:abstractNumId w:val="6"/>
  </w:num>
  <w:num w:numId="10">
    <w:abstractNumId w:val="8"/>
  </w:num>
  <w:num w:numId="11">
    <w:abstractNumId w:val="10"/>
  </w:num>
  <w:num w:numId="12">
    <w:abstractNumId w:val="3"/>
  </w:num>
  <w:num w:numId="13">
    <w:abstractNumId w:val="20"/>
  </w:num>
  <w:num w:numId="14">
    <w:abstractNumId w:val="25"/>
  </w:num>
  <w:num w:numId="15">
    <w:abstractNumId w:val="16"/>
  </w:num>
  <w:num w:numId="16">
    <w:abstractNumId w:val="28"/>
  </w:num>
  <w:num w:numId="17">
    <w:abstractNumId w:val="18"/>
  </w:num>
  <w:num w:numId="18">
    <w:abstractNumId w:val="27"/>
  </w:num>
  <w:num w:numId="19">
    <w:abstractNumId w:val="26"/>
  </w:num>
  <w:num w:numId="20">
    <w:abstractNumId w:val="14"/>
  </w:num>
  <w:num w:numId="21">
    <w:abstractNumId w:val="11"/>
  </w:num>
  <w:num w:numId="22">
    <w:abstractNumId w:val="19"/>
  </w:num>
  <w:num w:numId="23">
    <w:abstractNumId w:val="5"/>
  </w:num>
  <w:num w:numId="24">
    <w:abstractNumId w:val="22"/>
  </w:num>
  <w:num w:numId="25">
    <w:abstractNumId w:val="24"/>
  </w:num>
  <w:num w:numId="26">
    <w:abstractNumId w:val="30"/>
  </w:num>
  <w:num w:numId="27">
    <w:abstractNumId w:val="21"/>
  </w:num>
  <w:num w:numId="28">
    <w:abstractNumId w:val="17"/>
  </w:num>
  <w:num w:numId="29">
    <w:abstractNumId w:val="2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7B"/>
    <w:rsid w:val="00002DAC"/>
    <w:rsid w:val="00005C0D"/>
    <w:rsid w:val="00010ABC"/>
    <w:rsid w:val="00010BB1"/>
    <w:rsid w:val="000158EC"/>
    <w:rsid w:val="000302C9"/>
    <w:rsid w:val="00031F95"/>
    <w:rsid w:val="0004462D"/>
    <w:rsid w:val="00056CCB"/>
    <w:rsid w:val="000637B0"/>
    <w:rsid w:val="0006686A"/>
    <w:rsid w:val="00067C4B"/>
    <w:rsid w:val="00073C62"/>
    <w:rsid w:val="00082018"/>
    <w:rsid w:val="00082329"/>
    <w:rsid w:val="00084367"/>
    <w:rsid w:val="0008582F"/>
    <w:rsid w:val="000A3330"/>
    <w:rsid w:val="000A54F8"/>
    <w:rsid w:val="000B7622"/>
    <w:rsid w:val="000C28E3"/>
    <w:rsid w:val="000C7696"/>
    <w:rsid w:val="000D4488"/>
    <w:rsid w:val="000D5B34"/>
    <w:rsid w:val="000E63FF"/>
    <w:rsid w:val="0010769D"/>
    <w:rsid w:val="001106B6"/>
    <w:rsid w:val="001113F8"/>
    <w:rsid w:val="00111F9E"/>
    <w:rsid w:val="0012441D"/>
    <w:rsid w:val="0012618C"/>
    <w:rsid w:val="001509FA"/>
    <w:rsid w:val="00152724"/>
    <w:rsid w:val="001550FA"/>
    <w:rsid w:val="00155802"/>
    <w:rsid w:val="001559D8"/>
    <w:rsid w:val="001650E1"/>
    <w:rsid w:val="00166678"/>
    <w:rsid w:val="00170BE3"/>
    <w:rsid w:val="001923ED"/>
    <w:rsid w:val="00193522"/>
    <w:rsid w:val="00195F17"/>
    <w:rsid w:val="00196DE7"/>
    <w:rsid w:val="001A0405"/>
    <w:rsid w:val="001D3A5F"/>
    <w:rsid w:val="001D6B44"/>
    <w:rsid w:val="001E1931"/>
    <w:rsid w:val="001E3179"/>
    <w:rsid w:val="001F23FD"/>
    <w:rsid w:val="001F62D8"/>
    <w:rsid w:val="00217B00"/>
    <w:rsid w:val="002352A8"/>
    <w:rsid w:val="002358EA"/>
    <w:rsid w:val="00235B82"/>
    <w:rsid w:val="002376A4"/>
    <w:rsid w:val="00244C8B"/>
    <w:rsid w:val="0024690D"/>
    <w:rsid w:val="0025140D"/>
    <w:rsid w:val="0026273A"/>
    <w:rsid w:val="00265EB6"/>
    <w:rsid w:val="00266E57"/>
    <w:rsid w:val="00270ED0"/>
    <w:rsid w:val="00273623"/>
    <w:rsid w:val="00273F8C"/>
    <w:rsid w:val="0027598A"/>
    <w:rsid w:val="00286BD0"/>
    <w:rsid w:val="002951C1"/>
    <w:rsid w:val="002A4B47"/>
    <w:rsid w:val="002C78F9"/>
    <w:rsid w:val="002E62CB"/>
    <w:rsid w:val="002E6689"/>
    <w:rsid w:val="002F420D"/>
    <w:rsid w:val="00305C07"/>
    <w:rsid w:val="0031562C"/>
    <w:rsid w:val="00317762"/>
    <w:rsid w:val="00322361"/>
    <w:rsid w:val="00322F44"/>
    <w:rsid w:val="00325C36"/>
    <w:rsid w:val="00336402"/>
    <w:rsid w:val="003414AA"/>
    <w:rsid w:val="00345429"/>
    <w:rsid w:val="00346952"/>
    <w:rsid w:val="003505E2"/>
    <w:rsid w:val="00355BFB"/>
    <w:rsid w:val="0037259E"/>
    <w:rsid w:val="00377FB7"/>
    <w:rsid w:val="0038392B"/>
    <w:rsid w:val="00387DAD"/>
    <w:rsid w:val="0039209B"/>
    <w:rsid w:val="003C0347"/>
    <w:rsid w:val="003C1ED1"/>
    <w:rsid w:val="003C4476"/>
    <w:rsid w:val="003C50F7"/>
    <w:rsid w:val="003C7131"/>
    <w:rsid w:val="003C7166"/>
    <w:rsid w:val="003E64D3"/>
    <w:rsid w:val="003E6E41"/>
    <w:rsid w:val="003F2962"/>
    <w:rsid w:val="003F3B05"/>
    <w:rsid w:val="0040468F"/>
    <w:rsid w:val="00411BAD"/>
    <w:rsid w:val="00412177"/>
    <w:rsid w:val="00414C2C"/>
    <w:rsid w:val="00417200"/>
    <w:rsid w:val="0042387B"/>
    <w:rsid w:val="00437F94"/>
    <w:rsid w:val="0045172B"/>
    <w:rsid w:val="004756B6"/>
    <w:rsid w:val="00475CEB"/>
    <w:rsid w:val="004805EF"/>
    <w:rsid w:val="00487EAA"/>
    <w:rsid w:val="0049171B"/>
    <w:rsid w:val="00494989"/>
    <w:rsid w:val="004A1549"/>
    <w:rsid w:val="004B71DD"/>
    <w:rsid w:val="004D22A4"/>
    <w:rsid w:val="004D2608"/>
    <w:rsid w:val="004D27D3"/>
    <w:rsid w:val="004D4921"/>
    <w:rsid w:val="004D69F4"/>
    <w:rsid w:val="004E422D"/>
    <w:rsid w:val="004E44FF"/>
    <w:rsid w:val="004F1FB7"/>
    <w:rsid w:val="004F3240"/>
    <w:rsid w:val="004F6216"/>
    <w:rsid w:val="004F6D8C"/>
    <w:rsid w:val="00500A56"/>
    <w:rsid w:val="00504A24"/>
    <w:rsid w:val="00512BC9"/>
    <w:rsid w:val="00513161"/>
    <w:rsid w:val="00513677"/>
    <w:rsid w:val="00541EF1"/>
    <w:rsid w:val="00543511"/>
    <w:rsid w:val="00543622"/>
    <w:rsid w:val="00551BA9"/>
    <w:rsid w:val="00554870"/>
    <w:rsid w:val="00556332"/>
    <w:rsid w:val="00566C08"/>
    <w:rsid w:val="005709E0"/>
    <w:rsid w:val="0057147F"/>
    <w:rsid w:val="00584D43"/>
    <w:rsid w:val="005931B3"/>
    <w:rsid w:val="00593A28"/>
    <w:rsid w:val="005B1A5C"/>
    <w:rsid w:val="005B1BC1"/>
    <w:rsid w:val="005C1B29"/>
    <w:rsid w:val="005C7A73"/>
    <w:rsid w:val="005D7D0D"/>
    <w:rsid w:val="005E1891"/>
    <w:rsid w:val="005E1EE5"/>
    <w:rsid w:val="005E4535"/>
    <w:rsid w:val="0061443C"/>
    <w:rsid w:val="00622E1F"/>
    <w:rsid w:val="00623B43"/>
    <w:rsid w:val="006247B2"/>
    <w:rsid w:val="0062526E"/>
    <w:rsid w:val="0064073C"/>
    <w:rsid w:val="006437FD"/>
    <w:rsid w:val="00655B55"/>
    <w:rsid w:val="00664FA6"/>
    <w:rsid w:val="006779E8"/>
    <w:rsid w:val="00684747"/>
    <w:rsid w:val="00684827"/>
    <w:rsid w:val="0068501F"/>
    <w:rsid w:val="006856A7"/>
    <w:rsid w:val="006865FB"/>
    <w:rsid w:val="00693C78"/>
    <w:rsid w:val="006968AE"/>
    <w:rsid w:val="00697736"/>
    <w:rsid w:val="006A04C3"/>
    <w:rsid w:val="006A76F4"/>
    <w:rsid w:val="006B0638"/>
    <w:rsid w:val="006C1895"/>
    <w:rsid w:val="006D3B30"/>
    <w:rsid w:val="006D5C12"/>
    <w:rsid w:val="006E07A7"/>
    <w:rsid w:val="006E39E1"/>
    <w:rsid w:val="006E5E5D"/>
    <w:rsid w:val="006F007E"/>
    <w:rsid w:val="006F06E9"/>
    <w:rsid w:val="006F296A"/>
    <w:rsid w:val="007035B4"/>
    <w:rsid w:val="00703756"/>
    <w:rsid w:val="00712BD9"/>
    <w:rsid w:val="00712E12"/>
    <w:rsid w:val="00715BD1"/>
    <w:rsid w:val="00734179"/>
    <w:rsid w:val="00736D92"/>
    <w:rsid w:val="00747B0B"/>
    <w:rsid w:val="00750284"/>
    <w:rsid w:val="00750ED5"/>
    <w:rsid w:val="00757D5B"/>
    <w:rsid w:val="00761761"/>
    <w:rsid w:val="00766C94"/>
    <w:rsid w:val="007727E8"/>
    <w:rsid w:val="00785CF9"/>
    <w:rsid w:val="007866D5"/>
    <w:rsid w:val="007908A2"/>
    <w:rsid w:val="00791DFB"/>
    <w:rsid w:val="00793B4F"/>
    <w:rsid w:val="007A324B"/>
    <w:rsid w:val="007A5432"/>
    <w:rsid w:val="007B3804"/>
    <w:rsid w:val="007C09D1"/>
    <w:rsid w:val="007C4E94"/>
    <w:rsid w:val="007C7DB4"/>
    <w:rsid w:val="007E016C"/>
    <w:rsid w:val="007E66CD"/>
    <w:rsid w:val="007E6F23"/>
    <w:rsid w:val="007F7CC0"/>
    <w:rsid w:val="007F7CCE"/>
    <w:rsid w:val="00805B42"/>
    <w:rsid w:val="00812C75"/>
    <w:rsid w:val="008149EA"/>
    <w:rsid w:val="008169A5"/>
    <w:rsid w:val="00824D06"/>
    <w:rsid w:val="00837F24"/>
    <w:rsid w:val="00846163"/>
    <w:rsid w:val="00847C37"/>
    <w:rsid w:val="008509BD"/>
    <w:rsid w:val="00861992"/>
    <w:rsid w:val="008656F3"/>
    <w:rsid w:val="0086767A"/>
    <w:rsid w:val="00882A68"/>
    <w:rsid w:val="0089363B"/>
    <w:rsid w:val="00893CBA"/>
    <w:rsid w:val="00894A7B"/>
    <w:rsid w:val="00896D19"/>
    <w:rsid w:val="008973AA"/>
    <w:rsid w:val="008A4AD1"/>
    <w:rsid w:val="008A65F1"/>
    <w:rsid w:val="008B0046"/>
    <w:rsid w:val="008B3F5B"/>
    <w:rsid w:val="008B5B84"/>
    <w:rsid w:val="008B5E6F"/>
    <w:rsid w:val="008C585B"/>
    <w:rsid w:val="008D3D40"/>
    <w:rsid w:val="008E43D7"/>
    <w:rsid w:val="008E503E"/>
    <w:rsid w:val="008F4A7E"/>
    <w:rsid w:val="008F5507"/>
    <w:rsid w:val="009077EA"/>
    <w:rsid w:val="00910957"/>
    <w:rsid w:val="00926EBE"/>
    <w:rsid w:val="009369B2"/>
    <w:rsid w:val="0095525A"/>
    <w:rsid w:val="00955FE2"/>
    <w:rsid w:val="009571F2"/>
    <w:rsid w:val="00961E83"/>
    <w:rsid w:val="009638F1"/>
    <w:rsid w:val="0096411E"/>
    <w:rsid w:val="00973258"/>
    <w:rsid w:val="00973A6D"/>
    <w:rsid w:val="00977066"/>
    <w:rsid w:val="00985B57"/>
    <w:rsid w:val="00987CE3"/>
    <w:rsid w:val="009949A5"/>
    <w:rsid w:val="0099594C"/>
    <w:rsid w:val="00997BF1"/>
    <w:rsid w:val="009A2059"/>
    <w:rsid w:val="009B03B9"/>
    <w:rsid w:val="009B15F2"/>
    <w:rsid w:val="009B3953"/>
    <w:rsid w:val="009B6D19"/>
    <w:rsid w:val="009C0A69"/>
    <w:rsid w:val="009C1E36"/>
    <w:rsid w:val="009C345E"/>
    <w:rsid w:val="009D296C"/>
    <w:rsid w:val="009D5242"/>
    <w:rsid w:val="009D6781"/>
    <w:rsid w:val="009D6E45"/>
    <w:rsid w:val="009F0776"/>
    <w:rsid w:val="009F4800"/>
    <w:rsid w:val="009F794D"/>
    <w:rsid w:val="00A301A8"/>
    <w:rsid w:val="00A32DE3"/>
    <w:rsid w:val="00A3684D"/>
    <w:rsid w:val="00A427AC"/>
    <w:rsid w:val="00A43663"/>
    <w:rsid w:val="00A5213B"/>
    <w:rsid w:val="00A571E9"/>
    <w:rsid w:val="00A6432E"/>
    <w:rsid w:val="00A77FDD"/>
    <w:rsid w:val="00A803F7"/>
    <w:rsid w:val="00A82B93"/>
    <w:rsid w:val="00A86377"/>
    <w:rsid w:val="00A96C3D"/>
    <w:rsid w:val="00AA5A1A"/>
    <w:rsid w:val="00AB54EB"/>
    <w:rsid w:val="00AB7601"/>
    <w:rsid w:val="00AD087E"/>
    <w:rsid w:val="00AD2176"/>
    <w:rsid w:val="00AD29E9"/>
    <w:rsid w:val="00AD6188"/>
    <w:rsid w:val="00AE1764"/>
    <w:rsid w:val="00AE1F7A"/>
    <w:rsid w:val="00AE6BB5"/>
    <w:rsid w:val="00AF69FD"/>
    <w:rsid w:val="00B0028F"/>
    <w:rsid w:val="00B00B01"/>
    <w:rsid w:val="00B01E46"/>
    <w:rsid w:val="00B03293"/>
    <w:rsid w:val="00B0616D"/>
    <w:rsid w:val="00B139DC"/>
    <w:rsid w:val="00B278FA"/>
    <w:rsid w:val="00B406BA"/>
    <w:rsid w:val="00B44576"/>
    <w:rsid w:val="00B5347B"/>
    <w:rsid w:val="00B6641C"/>
    <w:rsid w:val="00B77931"/>
    <w:rsid w:val="00B92D2E"/>
    <w:rsid w:val="00BB397C"/>
    <w:rsid w:val="00BB4A0F"/>
    <w:rsid w:val="00BC2F69"/>
    <w:rsid w:val="00BD762D"/>
    <w:rsid w:val="00BE2EF8"/>
    <w:rsid w:val="00BE2F97"/>
    <w:rsid w:val="00BE61AC"/>
    <w:rsid w:val="00BF52DA"/>
    <w:rsid w:val="00C10AB7"/>
    <w:rsid w:val="00C15758"/>
    <w:rsid w:val="00C21D72"/>
    <w:rsid w:val="00C25AF3"/>
    <w:rsid w:val="00C27207"/>
    <w:rsid w:val="00C27C5F"/>
    <w:rsid w:val="00C354AD"/>
    <w:rsid w:val="00C40099"/>
    <w:rsid w:val="00C4206A"/>
    <w:rsid w:val="00C4291A"/>
    <w:rsid w:val="00C5604A"/>
    <w:rsid w:val="00C74304"/>
    <w:rsid w:val="00C74507"/>
    <w:rsid w:val="00C76553"/>
    <w:rsid w:val="00C96171"/>
    <w:rsid w:val="00C9758B"/>
    <w:rsid w:val="00C97FE7"/>
    <w:rsid w:val="00CA2111"/>
    <w:rsid w:val="00CA473C"/>
    <w:rsid w:val="00CA4F8A"/>
    <w:rsid w:val="00CB0157"/>
    <w:rsid w:val="00CB148C"/>
    <w:rsid w:val="00CB2408"/>
    <w:rsid w:val="00CC2027"/>
    <w:rsid w:val="00CC4D5F"/>
    <w:rsid w:val="00CD1D99"/>
    <w:rsid w:val="00CE16E4"/>
    <w:rsid w:val="00CF1DE9"/>
    <w:rsid w:val="00CF2798"/>
    <w:rsid w:val="00CF5068"/>
    <w:rsid w:val="00D03B0D"/>
    <w:rsid w:val="00D0416F"/>
    <w:rsid w:val="00D11C24"/>
    <w:rsid w:val="00D127BA"/>
    <w:rsid w:val="00D15D71"/>
    <w:rsid w:val="00D277A5"/>
    <w:rsid w:val="00D31180"/>
    <w:rsid w:val="00D37222"/>
    <w:rsid w:val="00D423D8"/>
    <w:rsid w:val="00D42B11"/>
    <w:rsid w:val="00D46F15"/>
    <w:rsid w:val="00D51DDB"/>
    <w:rsid w:val="00D51E5B"/>
    <w:rsid w:val="00D66809"/>
    <w:rsid w:val="00D671E5"/>
    <w:rsid w:val="00D72619"/>
    <w:rsid w:val="00D7315E"/>
    <w:rsid w:val="00D81A86"/>
    <w:rsid w:val="00D82188"/>
    <w:rsid w:val="00D93430"/>
    <w:rsid w:val="00D94B80"/>
    <w:rsid w:val="00DA07DF"/>
    <w:rsid w:val="00DA288B"/>
    <w:rsid w:val="00DA352A"/>
    <w:rsid w:val="00DA5A4A"/>
    <w:rsid w:val="00DB14C5"/>
    <w:rsid w:val="00DB3BBB"/>
    <w:rsid w:val="00DC0EF0"/>
    <w:rsid w:val="00DC5C2A"/>
    <w:rsid w:val="00DD0BB7"/>
    <w:rsid w:val="00DD5726"/>
    <w:rsid w:val="00DE0309"/>
    <w:rsid w:val="00DE3DCF"/>
    <w:rsid w:val="00DE5F0D"/>
    <w:rsid w:val="00DF3F5F"/>
    <w:rsid w:val="00DF6497"/>
    <w:rsid w:val="00E00DDE"/>
    <w:rsid w:val="00E120CF"/>
    <w:rsid w:val="00E26953"/>
    <w:rsid w:val="00E314E6"/>
    <w:rsid w:val="00E4045A"/>
    <w:rsid w:val="00E46D0E"/>
    <w:rsid w:val="00E5493A"/>
    <w:rsid w:val="00E62BA2"/>
    <w:rsid w:val="00E65ED9"/>
    <w:rsid w:val="00E679B5"/>
    <w:rsid w:val="00E9593C"/>
    <w:rsid w:val="00EA7DE7"/>
    <w:rsid w:val="00EB169E"/>
    <w:rsid w:val="00EC03F1"/>
    <w:rsid w:val="00ED02D3"/>
    <w:rsid w:val="00EE573D"/>
    <w:rsid w:val="00EF656B"/>
    <w:rsid w:val="00EF6F83"/>
    <w:rsid w:val="00F00134"/>
    <w:rsid w:val="00F01478"/>
    <w:rsid w:val="00F149EC"/>
    <w:rsid w:val="00F1592E"/>
    <w:rsid w:val="00F325AF"/>
    <w:rsid w:val="00F340D5"/>
    <w:rsid w:val="00F42155"/>
    <w:rsid w:val="00F43216"/>
    <w:rsid w:val="00F47E15"/>
    <w:rsid w:val="00F67069"/>
    <w:rsid w:val="00F7328F"/>
    <w:rsid w:val="00F73BEA"/>
    <w:rsid w:val="00F81514"/>
    <w:rsid w:val="00F82D63"/>
    <w:rsid w:val="00F934BD"/>
    <w:rsid w:val="00F93F48"/>
    <w:rsid w:val="00F94152"/>
    <w:rsid w:val="00F95A6F"/>
    <w:rsid w:val="00FA0559"/>
    <w:rsid w:val="00FA5182"/>
    <w:rsid w:val="00FB0A08"/>
    <w:rsid w:val="00FB1CC8"/>
    <w:rsid w:val="00FB24FD"/>
    <w:rsid w:val="00FB749D"/>
    <w:rsid w:val="00FD273C"/>
    <w:rsid w:val="00FD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61E1B"/>
  <w14:defaultImageDpi w14:val="32767"/>
  <w15:docId w15:val="{8F161A1A-F79D-4E7D-AFA5-6A1B8F32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6D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37FD"/>
    <w:pPr>
      <w:ind w:left="720"/>
      <w:contextualSpacing/>
    </w:pPr>
  </w:style>
  <w:style w:type="character" w:styleId="Kommentarzeichen">
    <w:name w:val="annotation reference"/>
    <w:basedOn w:val="Absatz-Standardschriftart"/>
    <w:uiPriority w:val="99"/>
    <w:semiHidden/>
    <w:unhideWhenUsed/>
    <w:rsid w:val="003414AA"/>
    <w:rPr>
      <w:sz w:val="18"/>
      <w:szCs w:val="18"/>
    </w:rPr>
  </w:style>
  <w:style w:type="paragraph" w:styleId="Kommentartext">
    <w:name w:val="annotation text"/>
    <w:basedOn w:val="Standard"/>
    <w:link w:val="KommentartextZchn"/>
    <w:uiPriority w:val="99"/>
    <w:unhideWhenUsed/>
    <w:rsid w:val="003414AA"/>
  </w:style>
  <w:style w:type="character" w:customStyle="1" w:styleId="KommentartextZchn">
    <w:name w:val="Kommentartext Zchn"/>
    <w:basedOn w:val="Absatz-Standardschriftart"/>
    <w:link w:val="Kommentartext"/>
    <w:uiPriority w:val="99"/>
    <w:rsid w:val="003414AA"/>
  </w:style>
  <w:style w:type="paragraph" w:styleId="Kommentarthema">
    <w:name w:val="annotation subject"/>
    <w:basedOn w:val="Kommentartext"/>
    <w:next w:val="Kommentartext"/>
    <w:link w:val="KommentarthemaZchn"/>
    <w:uiPriority w:val="99"/>
    <w:semiHidden/>
    <w:unhideWhenUsed/>
    <w:rsid w:val="003414AA"/>
    <w:rPr>
      <w:b/>
      <w:bCs/>
      <w:sz w:val="20"/>
      <w:szCs w:val="20"/>
    </w:rPr>
  </w:style>
  <w:style w:type="character" w:customStyle="1" w:styleId="KommentarthemaZchn">
    <w:name w:val="Kommentarthema Zchn"/>
    <w:basedOn w:val="KommentartextZchn"/>
    <w:link w:val="Kommentarthema"/>
    <w:uiPriority w:val="99"/>
    <w:semiHidden/>
    <w:rsid w:val="003414AA"/>
    <w:rPr>
      <w:b/>
      <w:bCs/>
      <w:sz w:val="20"/>
      <w:szCs w:val="20"/>
    </w:rPr>
  </w:style>
  <w:style w:type="paragraph" w:styleId="Sprechblasentext">
    <w:name w:val="Balloon Text"/>
    <w:basedOn w:val="Standard"/>
    <w:link w:val="SprechblasentextZchn"/>
    <w:uiPriority w:val="99"/>
    <w:semiHidden/>
    <w:unhideWhenUsed/>
    <w:rsid w:val="003414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414AA"/>
    <w:rPr>
      <w:rFonts w:ascii="Times New Roman" w:hAnsi="Times New Roman" w:cs="Times New Roman"/>
      <w:sz w:val="18"/>
      <w:szCs w:val="18"/>
    </w:rPr>
  </w:style>
  <w:style w:type="paragraph" w:styleId="Kopfzeile">
    <w:name w:val="header"/>
    <w:basedOn w:val="Standard"/>
    <w:link w:val="KopfzeileZchn"/>
    <w:uiPriority w:val="99"/>
    <w:unhideWhenUsed/>
    <w:rsid w:val="003C1ED1"/>
    <w:pPr>
      <w:tabs>
        <w:tab w:val="center" w:pos="4536"/>
        <w:tab w:val="right" w:pos="9072"/>
      </w:tabs>
    </w:pPr>
  </w:style>
  <w:style w:type="character" w:customStyle="1" w:styleId="KopfzeileZchn">
    <w:name w:val="Kopfzeile Zchn"/>
    <w:basedOn w:val="Absatz-Standardschriftart"/>
    <w:link w:val="Kopfzeile"/>
    <w:uiPriority w:val="99"/>
    <w:rsid w:val="003C1ED1"/>
  </w:style>
  <w:style w:type="paragraph" w:styleId="Fuzeile">
    <w:name w:val="footer"/>
    <w:basedOn w:val="Standard"/>
    <w:link w:val="FuzeileZchn"/>
    <w:uiPriority w:val="99"/>
    <w:unhideWhenUsed/>
    <w:rsid w:val="003C1ED1"/>
    <w:pPr>
      <w:tabs>
        <w:tab w:val="center" w:pos="4536"/>
        <w:tab w:val="right" w:pos="9072"/>
      </w:tabs>
    </w:pPr>
  </w:style>
  <w:style w:type="character" w:customStyle="1" w:styleId="FuzeileZchn">
    <w:name w:val="Fußzeile Zchn"/>
    <w:basedOn w:val="Absatz-Standardschriftart"/>
    <w:link w:val="Fuzeile"/>
    <w:uiPriority w:val="99"/>
    <w:rsid w:val="003C1ED1"/>
  </w:style>
  <w:style w:type="character" w:styleId="Seitenzahl">
    <w:name w:val="page number"/>
    <w:basedOn w:val="Absatz-Standardschriftart"/>
    <w:uiPriority w:val="99"/>
    <w:semiHidden/>
    <w:unhideWhenUsed/>
    <w:rsid w:val="009C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86">
      <w:bodyDiv w:val="1"/>
      <w:marLeft w:val="0"/>
      <w:marRight w:val="0"/>
      <w:marTop w:val="0"/>
      <w:marBottom w:val="0"/>
      <w:divBdr>
        <w:top w:val="none" w:sz="0" w:space="0" w:color="auto"/>
        <w:left w:val="none" w:sz="0" w:space="0" w:color="auto"/>
        <w:bottom w:val="none" w:sz="0" w:space="0" w:color="auto"/>
        <w:right w:val="none" w:sz="0" w:space="0" w:color="auto"/>
      </w:divBdr>
    </w:div>
    <w:div w:id="35854087">
      <w:bodyDiv w:val="1"/>
      <w:marLeft w:val="0"/>
      <w:marRight w:val="0"/>
      <w:marTop w:val="0"/>
      <w:marBottom w:val="0"/>
      <w:divBdr>
        <w:top w:val="none" w:sz="0" w:space="0" w:color="auto"/>
        <w:left w:val="none" w:sz="0" w:space="0" w:color="auto"/>
        <w:bottom w:val="none" w:sz="0" w:space="0" w:color="auto"/>
        <w:right w:val="none" w:sz="0" w:space="0" w:color="auto"/>
      </w:divBdr>
    </w:div>
    <w:div w:id="143401944">
      <w:bodyDiv w:val="1"/>
      <w:marLeft w:val="0"/>
      <w:marRight w:val="0"/>
      <w:marTop w:val="0"/>
      <w:marBottom w:val="0"/>
      <w:divBdr>
        <w:top w:val="none" w:sz="0" w:space="0" w:color="auto"/>
        <w:left w:val="none" w:sz="0" w:space="0" w:color="auto"/>
        <w:bottom w:val="none" w:sz="0" w:space="0" w:color="auto"/>
        <w:right w:val="none" w:sz="0" w:space="0" w:color="auto"/>
      </w:divBdr>
    </w:div>
    <w:div w:id="196088455">
      <w:bodyDiv w:val="1"/>
      <w:marLeft w:val="0"/>
      <w:marRight w:val="0"/>
      <w:marTop w:val="0"/>
      <w:marBottom w:val="0"/>
      <w:divBdr>
        <w:top w:val="none" w:sz="0" w:space="0" w:color="auto"/>
        <w:left w:val="none" w:sz="0" w:space="0" w:color="auto"/>
        <w:bottom w:val="none" w:sz="0" w:space="0" w:color="auto"/>
        <w:right w:val="none" w:sz="0" w:space="0" w:color="auto"/>
      </w:divBdr>
    </w:div>
    <w:div w:id="264656513">
      <w:bodyDiv w:val="1"/>
      <w:marLeft w:val="0"/>
      <w:marRight w:val="0"/>
      <w:marTop w:val="0"/>
      <w:marBottom w:val="0"/>
      <w:divBdr>
        <w:top w:val="none" w:sz="0" w:space="0" w:color="auto"/>
        <w:left w:val="none" w:sz="0" w:space="0" w:color="auto"/>
        <w:bottom w:val="none" w:sz="0" w:space="0" w:color="auto"/>
        <w:right w:val="none" w:sz="0" w:space="0" w:color="auto"/>
      </w:divBdr>
    </w:div>
    <w:div w:id="504318827">
      <w:bodyDiv w:val="1"/>
      <w:marLeft w:val="0"/>
      <w:marRight w:val="0"/>
      <w:marTop w:val="0"/>
      <w:marBottom w:val="0"/>
      <w:divBdr>
        <w:top w:val="none" w:sz="0" w:space="0" w:color="auto"/>
        <w:left w:val="none" w:sz="0" w:space="0" w:color="auto"/>
        <w:bottom w:val="none" w:sz="0" w:space="0" w:color="auto"/>
        <w:right w:val="none" w:sz="0" w:space="0" w:color="auto"/>
      </w:divBdr>
    </w:div>
    <w:div w:id="977688706">
      <w:bodyDiv w:val="1"/>
      <w:marLeft w:val="0"/>
      <w:marRight w:val="0"/>
      <w:marTop w:val="0"/>
      <w:marBottom w:val="0"/>
      <w:divBdr>
        <w:top w:val="none" w:sz="0" w:space="0" w:color="auto"/>
        <w:left w:val="none" w:sz="0" w:space="0" w:color="auto"/>
        <w:bottom w:val="none" w:sz="0" w:space="0" w:color="auto"/>
        <w:right w:val="none" w:sz="0" w:space="0" w:color="auto"/>
      </w:divBdr>
    </w:div>
    <w:div w:id="1188834833">
      <w:bodyDiv w:val="1"/>
      <w:marLeft w:val="0"/>
      <w:marRight w:val="0"/>
      <w:marTop w:val="0"/>
      <w:marBottom w:val="0"/>
      <w:divBdr>
        <w:top w:val="none" w:sz="0" w:space="0" w:color="auto"/>
        <w:left w:val="none" w:sz="0" w:space="0" w:color="auto"/>
        <w:bottom w:val="none" w:sz="0" w:space="0" w:color="auto"/>
        <w:right w:val="none" w:sz="0" w:space="0" w:color="auto"/>
      </w:divBdr>
    </w:div>
    <w:div w:id="1672221521">
      <w:bodyDiv w:val="1"/>
      <w:marLeft w:val="0"/>
      <w:marRight w:val="0"/>
      <w:marTop w:val="0"/>
      <w:marBottom w:val="0"/>
      <w:divBdr>
        <w:top w:val="none" w:sz="0" w:space="0" w:color="auto"/>
        <w:left w:val="none" w:sz="0" w:space="0" w:color="auto"/>
        <w:bottom w:val="none" w:sz="0" w:space="0" w:color="auto"/>
        <w:right w:val="none" w:sz="0" w:space="0" w:color="auto"/>
      </w:divBdr>
    </w:div>
    <w:div w:id="2018917506">
      <w:bodyDiv w:val="1"/>
      <w:marLeft w:val="0"/>
      <w:marRight w:val="0"/>
      <w:marTop w:val="0"/>
      <w:marBottom w:val="0"/>
      <w:divBdr>
        <w:top w:val="none" w:sz="0" w:space="0" w:color="auto"/>
        <w:left w:val="none" w:sz="0" w:space="0" w:color="auto"/>
        <w:bottom w:val="none" w:sz="0" w:space="0" w:color="auto"/>
        <w:right w:val="none" w:sz="0" w:space="0" w:color="auto"/>
      </w:divBdr>
      <w:divsChild>
        <w:div w:id="2107268162">
          <w:marLeft w:val="0"/>
          <w:marRight w:val="0"/>
          <w:marTop w:val="0"/>
          <w:marBottom w:val="0"/>
          <w:divBdr>
            <w:top w:val="none" w:sz="0" w:space="0" w:color="auto"/>
            <w:left w:val="none" w:sz="0" w:space="0" w:color="auto"/>
            <w:bottom w:val="none" w:sz="0" w:space="0" w:color="auto"/>
            <w:right w:val="none" w:sz="0" w:space="0" w:color="auto"/>
          </w:divBdr>
          <w:divsChild>
            <w:div w:id="216743200">
              <w:marLeft w:val="0"/>
              <w:marRight w:val="0"/>
              <w:marTop w:val="0"/>
              <w:marBottom w:val="0"/>
              <w:divBdr>
                <w:top w:val="none" w:sz="0" w:space="0" w:color="auto"/>
                <w:left w:val="none" w:sz="0" w:space="0" w:color="auto"/>
                <w:bottom w:val="none" w:sz="0" w:space="0" w:color="auto"/>
                <w:right w:val="none" w:sz="0" w:space="0" w:color="auto"/>
              </w:divBdr>
              <w:divsChild>
                <w:div w:id="1209149253">
                  <w:marLeft w:val="0"/>
                  <w:marRight w:val="0"/>
                  <w:marTop w:val="0"/>
                  <w:marBottom w:val="0"/>
                  <w:divBdr>
                    <w:top w:val="none" w:sz="0" w:space="0" w:color="auto"/>
                    <w:left w:val="none" w:sz="0" w:space="0" w:color="auto"/>
                    <w:bottom w:val="none" w:sz="0" w:space="0" w:color="auto"/>
                    <w:right w:val="none" w:sz="0" w:space="0" w:color="auto"/>
                  </w:divBdr>
                  <w:divsChild>
                    <w:div w:id="894972446">
                      <w:marLeft w:val="0"/>
                      <w:marRight w:val="0"/>
                      <w:marTop w:val="0"/>
                      <w:marBottom w:val="0"/>
                      <w:divBdr>
                        <w:top w:val="none" w:sz="0" w:space="0" w:color="auto"/>
                        <w:left w:val="none" w:sz="0" w:space="0" w:color="auto"/>
                        <w:bottom w:val="none" w:sz="0" w:space="0" w:color="auto"/>
                        <w:right w:val="none" w:sz="0" w:space="0" w:color="auto"/>
                      </w:divBdr>
                      <w:divsChild>
                        <w:div w:id="772701184">
                          <w:marLeft w:val="0"/>
                          <w:marRight w:val="0"/>
                          <w:marTop w:val="0"/>
                          <w:marBottom w:val="0"/>
                          <w:divBdr>
                            <w:top w:val="none" w:sz="0" w:space="0" w:color="auto"/>
                            <w:left w:val="none" w:sz="0" w:space="0" w:color="auto"/>
                            <w:bottom w:val="none" w:sz="0" w:space="0" w:color="auto"/>
                            <w:right w:val="none" w:sz="0" w:space="0" w:color="auto"/>
                          </w:divBdr>
                          <w:divsChild>
                            <w:div w:id="1814130687">
                              <w:marLeft w:val="0"/>
                              <w:marRight w:val="0"/>
                              <w:marTop w:val="0"/>
                              <w:marBottom w:val="0"/>
                              <w:divBdr>
                                <w:top w:val="none" w:sz="0" w:space="0" w:color="auto"/>
                                <w:left w:val="none" w:sz="0" w:space="0" w:color="auto"/>
                                <w:bottom w:val="none" w:sz="0" w:space="0" w:color="auto"/>
                                <w:right w:val="none" w:sz="0" w:space="0" w:color="auto"/>
                              </w:divBdr>
                              <w:divsChild>
                                <w:div w:id="1937789006">
                                  <w:marLeft w:val="0"/>
                                  <w:marRight w:val="0"/>
                                  <w:marTop w:val="0"/>
                                  <w:marBottom w:val="0"/>
                                  <w:divBdr>
                                    <w:top w:val="none" w:sz="0" w:space="0" w:color="auto"/>
                                    <w:left w:val="none" w:sz="0" w:space="0" w:color="auto"/>
                                    <w:bottom w:val="none" w:sz="0" w:space="0" w:color="auto"/>
                                    <w:right w:val="none" w:sz="0" w:space="0" w:color="auto"/>
                                  </w:divBdr>
                                  <w:divsChild>
                                    <w:div w:id="1023088955">
                                      <w:marLeft w:val="0"/>
                                      <w:marRight w:val="0"/>
                                      <w:marTop w:val="0"/>
                                      <w:marBottom w:val="0"/>
                                      <w:divBdr>
                                        <w:top w:val="none" w:sz="0" w:space="0" w:color="auto"/>
                                        <w:left w:val="none" w:sz="0" w:space="0" w:color="auto"/>
                                        <w:bottom w:val="none" w:sz="0" w:space="0" w:color="auto"/>
                                        <w:right w:val="none" w:sz="0" w:space="0" w:color="auto"/>
                                      </w:divBdr>
                                      <w:divsChild>
                                        <w:div w:id="163129295">
                                          <w:marLeft w:val="0"/>
                                          <w:marRight w:val="0"/>
                                          <w:marTop w:val="0"/>
                                          <w:marBottom w:val="495"/>
                                          <w:divBdr>
                                            <w:top w:val="none" w:sz="0" w:space="0" w:color="auto"/>
                                            <w:left w:val="none" w:sz="0" w:space="0" w:color="auto"/>
                                            <w:bottom w:val="none" w:sz="0" w:space="0" w:color="auto"/>
                                            <w:right w:val="none" w:sz="0" w:space="0" w:color="auto"/>
                                          </w:divBdr>
                                          <w:divsChild>
                                            <w:div w:id="18284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355017">
      <w:bodyDiv w:val="1"/>
      <w:marLeft w:val="0"/>
      <w:marRight w:val="0"/>
      <w:marTop w:val="0"/>
      <w:marBottom w:val="0"/>
      <w:divBdr>
        <w:top w:val="none" w:sz="0" w:space="0" w:color="auto"/>
        <w:left w:val="none" w:sz="0" w:space="0" w:color="auto"/>
        <w:bottom w:val="none" w:sz="0" w:space="0" w:color="auto"/>
        <w:right w:val="none" w:sz="0" w:space="0" w:color="auto"/>
      </w:divBdr>
    </w:div>
    <w:div w:id="2125298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7620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Gießen und Marburg GmbH</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Dyar</dc:creator>
  <cp:lastModifiedBy>Nicole von Maltzahn</cp:lastModifiedBy>
  <cp:revision>2</cp:revision>
  <cp:lastPrinted>2018-06-29T12:09:00Z</cp:lastPrinted>
  <dcterms:created xsi:type="dcterms:W3CDTF">2019-05-14T08:13:00Z</dcterms:created>
  <dcterms:modified xsi:type="dcterms:W3CDTF">2019-05-14T08:13:00Z</dcterms:modified>
</cp:coreProperties>
</file>