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4E988" w14:textId="77777777" w:rsidR="007C4E94" w:rsidRDefault="007C4E94" w:rsidP="00766C94">
      <w:pPr>
        <w:outlineLvl w:val="0"/>
        <w:rPr>
          <w:b/>
          <w:sz w:val="28"/>
          <w:szCs w:val="28"/>
        </w:rPr>
      </w:pPr>
      <w:bookmarkStart w:id="0" w:name="_GoBack"/>
      <w:bookmarkEnd w:id="0"/>
    </w:p>
    <w:p w14:paraId="6B262A67" w14:textId="2E1738A5" w:rsidR="00766C94" w:rsidRDefault="00766C94" w:rsidP="00766C94">
      <w:pPr>
        <w:outlineLvl w:val="0"/>
        <w:rPr>
          <w:b/>
          <w:sz w:val="28"/>
          <w:szCs w:val="28"/>
        </w:rPr>
      </w:pPr>
      <w:r w:rsidRPr="00F10370">
        <w:rPr>
          <w:b/>
          <w:sz w:val="28"/>
          <w:szCs w:val="28"/>
        </w:rPr>
        <w:t>ESCMID generic competencies in antimicrob</w:t>
      </w:r>
      <w:r w:rsidR="004D27D3">
        <w:rPr>
          <w:b/>
          <w:sz w:val="28"/>
          <w:szCs w:val="28"/>
        </w:rPr>
        <w:t>ial stewardship and prescribing</w:t>
      </w:r>
    </w:p>
    <w:p w14:paraId="3C7E98A3" w14:textId="49AAC9F1" w:rsidR="00A571E9" w:rsidRDefault="00A571E9" w:rsidP="0006686A">
      <w:pPr>
        <w:rPr>
          <w:sz w:val="28"/>
          <w:szCs w:val="28"/>
        </w:rPr>
      </w:pPr>
    </w:p>
    <w:p w14:paraId="741D518E" w14:textId="59C99F5B" w:rsidR="00010ABC" w:rsidRPr="00010ABC" w:rsidRDefault="00D46F15" w:rsidP="0037259E">
      <w:pPr>
        <w:rPr>
          <w:b/>
        </w:rPr>
      </w:pPr>
      <w:r w:rsidRPr="003C4476">
        <w:rPr>
          <w:b/>
        </w:rPr>
        <w:t>Introduction</w:t>
      </w:r>
    </w:p>
    <w:p w14:paraId="5EDE3598" w14:textId="4898FC57" w:rsidR="00010ABC" w:rsidRPr="00B92D2E" w:rsidRDefault="00E120CF" w:rsidP="00B92D2E">
      <w:r>
        <w:t xml:space="preserve">This document contains a set of </w:t>
      </w:r>
      <w:r w:rsidR="00B92D2E">
        <w:t xml:space="preserve">generic </w:t>
      </w:r>
      <w:r w:rsidRPr="00B92D2E">
        <w:t>competencies</w:t>
      </w:r>
      <w:r>
        <w:t xml:space="preserve"> </w:t>
      </w:r>
      <w:r w:rsidR="00B92D2E">
        <w:t xml:space="preserve">in antimicrobial prescribing and stewardship </w:t>
      </w:r>
      <w:r>
        <w:t xml:space="preserve">which </w:t>
      </w:r>
      <w:r w:rsidR="00B0028F">
        <w:t>is</w:t>
      </w:r>
      <w:r>
        <w:t xml:space="preserve"> the result of a </w:t>
      </w:r>
      <w:r w:rsidR="008B0046">
        <w:t xml:space="preserve">structured </w:t>
      </w:r>
      <w:r>
        <w:t>consensus procedure including a multidisciplinary expert panel from 24 European countries.</w:t>
      </w:r>
      <w:r w:rsidR="00B92D2E">
        <w:t xml:space="preserve"> The</w:t>
      </w:r>
      <w:r w:rsidR="008B0046">
        <w:t xml:space="preserve">se competencies are intended to be relevant </w:t>
      </w:r>
      <w:r w:rsidR="00B92D2E">
        <w:t>for all independent prescribers in Europe. These are generic competencies, and so they can be further adapted by all prescribing professional groups.</w:t>
      </w:r>
    </w:p>
    <w:p w14:paraId="24BF7E8C" w14:textId="04D500D0" w:rsidR="00010ABC" w:rsidRPr="0008582F" w:rsidRDefault="00010ABC" w:rsidP="0037259E">
      <w:pPr>
        <w:rPr>
          <w:b/>
        </w:rPr>
      </w:pPr>
    </w:p>
    <w:p w14:paraId="24CBD1C9" w14:textId="7EC3E87A" w:rsidR="009B03B9" w:rsidRDefault="009B03B9" w:rsidP="009B03B9">
      <w:pPr>
        <w:autoSpaceDE w:val="0"/>
        <w:autoSpaceDN w:val="0"/>
        <w:adjustRightInd w:val="0"/>
        <w:rPr>
          <w:rFonts w:ascii="Calibri" w:hAnsi="Calibri" w:cs="Calibri"/>
        </w:rPr>
      </w:pPr>
      <w:r w:rsidRPr="0025140D">
        <w:rPr>
          <w:rFonts w:ascii="Calibri" w:hAnsi="Calibri" w:cs="Calibri"/>
        </w:rPr>
        <w:t xml:space="preserve">There are other important competencies that are relevant for antimicrobial prescribers and stewards, such as </w:t>
      </w:r>
      <w:r w:rsidR="008B0046">
        <w:rPr>
          <w:rFonts w:ascii="Calibri" w:hAnsi="Calibri" w:cs="Calibri"/>
        </w:rPr>
        <w:t xml:space="preserve">competencies in </w:t>
      </w:r>
      <w:r w:rsidRPr="0025140D">
        <w:rPr>
          <w:rFonts w:ascii="Calibri" w:hAnsi="Calibri" w:cs="Calibri"/>
        </w:rPr>
        <w:t xml:space="preserve">infection prevention and control, public health, and the use of vaccines. However, competencies </w:t>
      </w:r>
      <w:r w:rsidR="00B92D2E">
        <w:rPr>
          <w:rFonts w:ascii="Calibri" w:hAnsi="Calibri" w:cs="Calibri"/>
        </w:rPr>
        <w:t xml:space="preserve">were only considered for </w:t>
      </w:r>
      <w:r w:rsidRPr="0025140D">
        <w:rPr>
          <w:rFonts w:ascii="Calibri" w:hAnsi="Calibri" w:cs="Calibri"/>
        </w:rPr>
        <w:t>inclusion</w:t>
      </w:r>
      <w:r w:rsidR="008B0046">
        <w:rPr>
          <w:rFonts w:ascii="Calibri" w:hAnsi="Calibri" w:cs="Calibri"/>
        </w:rPr>
        <w:t xml:space="preserve"> </w:t>
      </w:r>
      <w:r w:rsidR="00B92D2E">
        <w:rPr>
          <w:rFonts w:ascii="Calibri" w:hAnsi="Calibri" w:cs="Calibri"/>
        </w:rPr>
        <w:t xml:space="preserve">if they were </w:t>
      </w:r>
      <w:r w:rsidRPr="0025140D">
        <w:rPr>
          <w:rFonts w:ascii="Calibri" w:hAnsi="Calibri" w:cs="Calibri"/>
        </w:rPr>
        <w:t xml:space="preserve">focused on the domains of antimicrobial prescribing and stewardship. It </w:t>
      </w:r>
      <w:r w:rsidR="00B92D2E">
        <w:rPr>
          <w:rFonts w:ascii="Calibri" w:hAnsi="Calibri" w:cs="Calibri"/>
        </w:rPr>
        <w:t>i</w:t>
      </w:r>
      <w:r w:rsidRPr="0025140D">
        <w:rPr>
          <w:rFonts w:ascii="Calibri" w:hAnsi="Calibri" w:cs="Calibri"/>
        </w:rPr>
        <w:t xml:space="preserve">s essential that these other competencies are also considered in any strategy to help curb the emergence and spread of </w:t>
      </w:r>
      <w:r w:rsidR="00B92D2E">
        <w:rPr>
          <w:rFonts w:ascii="Calibri" w:hAnsi="Calibri" w:cs="Calibri"/>
        </w:rPr>
        <w:t>antimicrobial resistance,</w:t>
      </w:r>
      <w:r w:rsidRPr="0025140D">
        <w:rPr>
          <w:rFonts w:ascii="Calibri" w:hAnsi="Calibri" w:cs="Calibri"/>
        </w:rPr>
        <w:t xml:space="preserve"> and so preserve the use of our antimicrobials. </w:t>
      </w:r>
    </w:p>
    <w:p w14:paraId="068654F0" w14:textId="6A753315" w:rsidR="00B92D2E" w:rsidRDefault="00B92D2E" w:rsidP="009B03B9">
      <w:pPr>
        <w:autoSpaceDE w:val="0"/>
        <w:autoSpaceDN w:val="0"/>
        <w:adjustRightInd w:val="0"/>
        <w:rPr>
          <w:rFonts w:ascii="Calibri" w:hAnsi="Calibri" w:cs="Calibri"/>
        </w:rPr>
      </w:pPr>
    </w:p>
    <w:p w14:paraId="7C5A19E5" w14:textId="77777777" w:rsidR="00B92D2E" w:rsidRPr="009D6781" w:rsidRDefault="00B92D2E" w:rsidP="00B92D2E">
      <w:pPr>
        <w:autoSpaceDE w:val="0"/>
        <w:autoSpaceDN w:val="0"/>
        <w:adjustRightInd w:val="0"/>
        <w:rPr>
          <w:rFonts w:ascii="p]lÀ˛" w:hAnsi="p]lÀ˛" w:cs="p]lÀ˛"/>
          <w:i/>
          <w:lang w:val="en-US"/>
        </w:rPr>
      </w:pPr>
      <w:r w:rsidRPr="009D6781">
        <w:rPr>
          <w:rFonts w:ascii="p]lÀ˛" w:hAnsi="p]lÀ˛" w:cs="p]lÀ˛"/>
          <w:i/>
          <w:lang w:val="en-US"/>
        </w:rPr>
        <w:t>Guiding definitions for developing competencies set:</w:t>
      </w:r>
    </w:p>
    <w:p w14:paraId="27A070E3" w14:textId="77777777" w:rsidR="00B92D2E" w:rsidRPr="00655B55" w:rsidRDefault="00B92D2E" w:rsidP="00B92D2E">
      <w:pPr>
        <w:pStyle w:val="Listenabsatz"/>
        <w:numPr>
          <w:ilvl w:val="0"/>
          <w:numId w:val="10"/>
        </w:numPr>
        <w:autoSpaceDE w:val="0"/>
        <w:autoSpaceDN w:val="0"/>
        <w:adjustRightInd w:val="0"/>
        <w:rPr>
          <w:rFonts w:ascii="p]lÀ˛" w:hAnsi="p]lÀ˛" w:cs="p]lÀ˛"/>
          <w:lang w:val="en-US"/>
        </w:rPr>
      </w:pPr>
      <w:r w:rsidRPr="00655B55">
        <w:rPr>
          <w:rFonts w:ascii="p]lÀ˛" w:hAnsi="p]lÀ˛" w:cs="p]lÀ˛"/>
          <w:i/>
          <w:lang w:val="en-US"/>
        </w:rPr>
        <w:t>Competencies</w:t>
      </w:r>
      <w:r w:rsidRPr="00655B55">
        <w:rPr>
          <w:rFonts w:ascii="p]lÀ˛" w:hAnsi="p]lÀ˛" w:cs="p]lÀ˛"/>
          <w:lang w:val="en-US"/>
        </w:rPr>
        <w:t xml:space="preserve"> are the minimum standards that all independent prescribers of antimicrobials should reach to </w:t>
      </w:r>
      <w:r w:rsidRPr="00655B55">
        <w:rPr>
          <w:rFonts w:ascii="p]lÀ˛" w:hAnsi="p]lÀ˛" w:cs="p]lÀ˛"/>
        </w:rPr>
        <w:t>practise</w:t>
      </w:r>
      <w:r w:rsidRPr="00655B55">
        <w:rPr>
          <w:rFonts w:ascii="p]lÀ˛" w:hAnsi="p]lÀ˛" w:cs="p]lÀ˛"/>
          <w:lang w:val="en-US"/>
        </w:rPr>
        <w:t xml:space="preserve"> according to the principle</w:t>
      </w:r>
      <w:r>
        <w:rPr>
          <w:rFonts w:ascii="p]lÀ˛" w:hAnsi="p]lÀ˛" w:cs="p]lÀ˛"/>
          <w:lang w:val="en-US"/>
        </w:rPr>
        <w:t>s of responsible antibiotic use</w:t>
      </w:r>
    </w:p>
    <w:p w14:paraId="51177055" w14:textId="77777777" w:rsidR="00B92D2E" w:rsidRPr="0025140D" w:rsidRDefault="00B92D2E" w:rsidP="00B92D2E">
      <w:pPr>
        <w:pStyle w:val="Listenabsatz"/>
        <w:numPr>
          <w:ilvl w:val="0"/>
          <w:numId w:val="10"/>
        </w:numPr>
        <w:autoSpaceDE w:val="0"/>
        <w:autoSpaceDN w:val="0"/>
        <w:adjustRightInd w:val="0"/>
        <w:rPr>
          <w:rFonts w:ascii="Calibri" w:hAnsi="Calibri" w:cs="Calibri"/>
        </w:rPr>
      </w:pPr>
      <w:r w:rsidRPr="0025140D">
        <w:rPr>
          <w:rFonts w:ascii="Calibri" w:hAnsi="Calibri" w:cs="Calibri"/>
          <w:i/>
          <w:lang w:val="en-US"/>
        </w:rPr>
        <w:t>An independent prescriber</w:t>
      </w:r>
      <w:r w:rsidRPr="0025140D">
        <w:rPr>
          <w:rFonts w:ascii="Calibri" w:hAnsi="Calibri" w:cs="Calibri"/>
          <w:lang w:val="en-US"/>
        </w:rPr>
        <w:t xml:space="preserve"> is in general an unsupervised and unrestricted prescriber, </w:t>
      </w:r>
      <w:r w:rsidRPr="0025140D">
        <w:rPr>
          <w:rFonts w:ascii="Calibri" w:hAnsi="Calibri" w:cs="Calibri"/>
        </w:rPr>
        <w:t>although specific prescribing rules vary from country to country</w:t>
      </w:r>
    </w:p>
    <w:p w14:paraId="26128498" w14:textId="541962EF" w:rsidR="00DC0EF0" w:rsidRPr="0025140D" w:rsidRDefault="00DC0EF0" w:rsidP="00DC0EF0">
      <w:pPr>
        <w:autoSpaceDE w:val="0"/>
        <w:autoSpaceDN w:val="0"/>
        <w:adjustRightInd w:val="0"/>
        <w:rPr>
          <w:rFonts w:ascii="Calibri" w:hAnsi="Calibri" w:cs="Calibri"/>
          <w:lang w:val="en-US"/>
        </w:rPr>
      </w:pPr>
    </w:p>
    <w:p w14:paraId="72C5BE11" w14:textId="6CF552E6" w:rsidR="00F01478" w:rsidRPr="0025140D" w:rsidRDefault="00F01478" w:rsidP="00F01478">
      <w:pPr>
        <w:autoSpaceDE w:val="0"/>
        <w:autoSpaceDN w:val="0"/>
        <w:adjustRightInd w:val="0"/>
        <w:rPr>
          <w:rFonts w:ascii="Calibri" w:hAnsi="Calibri" w:cs="Calibri"/>
          <w:lang w:val="en-US"/>
        </w:rPr>
      </w:pPr>
      <w:r w:rsidRPr="0025140D">
        <w:rPr>
          <w:rFonts w:ascii="Calibri" w:hAnsi="Calibri" w:cs="Calibri"/>
          <w:lang w:val="en-US"/>
        </w:rPr>
        <w:t xml:space="preserve">Prescribers are considered to be competent if they </w:t>
      </w:r>
      <w:r w:rsidRPr="0025140D">
        <w:rPr>
          <w:rFonts w:ascii="Calibri" w:hAnsi="Calibri" w:cs="Calibri"/>
          <w:i/>
          <w:lang w:val="en-US"/>
        </w:rPr>
        <w:t>demonstrate their understanding</w:t>
      </w:r>
      <w:r w:rsidRPr="0025140D">
        <w:rPr>
          <w:rFonts w:ascii="Calibri" w:hAnsi="Calibri" w:cs="Calibri"/>
          <w:lang w:val="en-US"/>
        </w:rPr>
        <w:t>, for example through</w:t>
      </w:r>
      <w:r w:rsidR="00985B57" w:rsidRPr="0025140D">
        <w:rPr>
          <w:rFonts w:ascii="Calibri" w:hAnsi="Calibri" w:cs="Calibri"/>
          <w:lang w:val="en-US"/>
        </w:rPr>
        <w:t xml:space="preserve"> </w:t>
      </w:r>
      <w:r w:rsidRPr="0025140D">
        <w:rPr>
          <w:rFonts w:ascii="Calibri" w:hAnsi="Calibri" w:cs="Calibri"/>
          <w:lang w:val="en-US"/>
        </w:rPr>
        <w:t xml:space="preserve">using the specific knowledge or skill </w:t>
      </w:r>
      <w:r w:rsidR="00985B57" w:rsidRPr="0025140D">
        <w:rPr>
          <w:rFonts w:ascii="Calibri" w:hAnsi="Calibri" w:cs="Calibri"/>
          <w:lang w:val="en-US"/>
        </w:rPr>
        <w:t>when prescribing an antibiotic</w:t>
      </w:r>
      <w:r w:rsidR="00F149EC" w:rsidRPr="0025140D">
        <w:rPr>
          <w:rFonts w:ascii="Calibri" w:hAnsi="Calibri" w:cs="Calibri"/>
          <w:lang w:val="en-US"/>
        </w:rPr>
        <w:t>.</w:t>
      </w:r>
    </w:p>
    <w:p w14:paraId="3C16D7B2" w14:textId="535DAD31" w:rsidR="00F01478" w:rsidRDefault="00F01478" w:rsidP="0037259E">
      <w:pPr>
        <w:rPr>
          <w:lang w:val="en-US"/>
        </w:rPr>
      </w:pPr>
    </w:p>
    <w:p w14:paraId="4BCA0F5C" w14:textId="77777777" w:rsidR="00F01478" w:rsidRPr="0037259E" w:rsidRDefault="00F01478" w:rsidP="0037259E">
      <w:pPr>
        <w:rPr>
          <w:lang w:val="en-US"/>
        </w:rPr>
      </w:pPr>
    </w:p>
    <w:p w14:paraId="23ABCFF0" w14:textId="21F3366C" w:rsidR="00D81A86" w:rsidRDefault="00D81A86" w:rsidP="00D81A86">
      <w:pPr>
        <w:rPr>
          <w:b/>
        </w:rPr>
      </w:pPr>
      <w:r w:rsidRPr="00EF35DC">
        <w:rPr>
          <w:b/>
        </w:rPr>
        <w:t>Section 1: Core concepts in microbiology, pathogenesis and diagnosing infections</w:t>
      </w:r>
    </w:p>
    <w:p w14:paraId="0A7B8882" w14:textId="77777777" w:rsidR="003C7131" w:rsidRPr="00EF35DC" w:rsidRDefault="003C7131" w:rsidP="00D81A86">
      <w:pPr>
        <w:rPr>
          <w:b/>
        </w:rPr>
      </w:pPr>
    </w:p>
    <w:p w14:paraId="1154FAF7" w14:textId="77777777" w:rsidR="00D81A86" w:rsidRPr="00EF35DC" w:rsidRDefault="00D81A86" w:rsidP="00D81A86">
      <w:pPr>
        <w:numPr>
          <w:ilvl w:val="0"/>
          <w:numId w:val="24"/>
        </w:numPr>
      </w:pPr>
      <w:r w:rsidRPr="00EF35DC">
        <w:t>Every independent prescriber must understand:</w:t>
      </w:r>
    </w:p>
    <w:p w14:paraId="042C81DE" w14:textId="77777777" w:rsidR="00D81A86" w:rsidRPr="00EF35DC" w:rsidRDefault="00D81A86" w:rsidP="00D81A86">
      <w:pPr>
        <w:numPr>
          <w:ilvl w:val="1"/>
          <w:numId w:val="24"/>
        </w:numPr>
      </w:pPr>
      <w:r w:rsidRPr="00EF35DC">
        <w:rPr>
          <w:bCs/>
        </w:rPr>
        <w:t>The nature and classification of micro-organisms that commonly cause infections in humans</w:t>
      </w:r>
    </w:p>
    <w:p w14:paraId="3A7ED49A" w14:textId="77777777" w:rsidR="00D81A86" w:rsidRPr="00EF35DC" w:rsidRDefault="00D81A86" w:rsidP="00D81A86">
      <w:pPr>
        <w:numPr>
          <w:ilvl w:val="1"/>
          <w:numId w:val="24"/>
        </w:numPr>
      </w:pPr>
      <w:r w:rsidRPr="00EF35DC">
        <w:rPr>
          <w:bCs/>
        </w:rPr>
        <w:t>The common microbiological aetiology of human infections, and</w:t>
      </w:r>
      <w:r w:rsidRPr="00EF35DC">
        <w:t xml:space="preserve"> the ways in which </w:t>
      </w:r>
      <w:r w:rsidRPr="00EF35DC">
        <w:rPr>
          <w:bCs/>
        </w:rPr>
        <w:t xml:space="preserve">micro-organisms are commonly acquired in community and hospital settings </w:t>
      </w:r>
    </w:p>
    <w:p w14:paraId="2EAEDF34" w14:textId="7786549B" w:rsidR="00D81A86" w:rsidRPr="00EF35DC" w:rsidRDefault="00D81A86" w:rsidP="00D81A86">
      <w:pPr>
        <w:numPr>
          <w:ilvl w:val="1"/>
          <w:numId w:val="24"/>
        </w:numPr>
      </w:pPr>
      <w:r w:rsidRPr="00EF35DC">
        <w:t>T</w:t>
      </w:r>
      <w:r w:rsidRPr="00EF35DC">
        <w:rPr>
          <w:bCs/>
        </w:rPr>
        <w:t xml:space="preserve">he differences between colonisation (e.g. isolation of bacteria from </w:t>
      </w:r>
      <w:r w:rsidR="003E6E41">
        <w:rPr>
          <w:bCs/>
        </w:rPr>
        <w:t xml:space="preserve">a </w:t>
      </w:r>
      <w:r w:rsidRPr="00EF35DC">
        <w:rPr>
          <w:bCs/>
        </w:rPr>
        <w:t>venous leg ulcer with no signs of inflammation) and infection</w:t>
      </w:r>
    </w:p>
    <w:p w14:paraId="05B59DC5" w14:textId="77777777" w:rsidR="00D81A86" w:rsidRPr="00EF35DC" w:rsidRDefault="00D81A86" w:rsidP="00D81A86">
      <w:pPr>
        <w:numPr>
          <w:ilvl w:val="1"/>
          <w:numId w:val="24"/>
        </w:numPr>
      </w:pPr>
      <w:r w:rsidRPr="00EF35DC">
        <w:rPr>
          <w:bCs/>
        </w:rPr>
        <w:t>That an inflammatory response can be due to both infectious and non-infectious causes (e.g. acute pancreatitis)</w:t>
      </w:r>
    </w:p>
    <w:p w14:paraId="237233CF" w14:textId="40308A57" w:rsidR="00D81A86" w:rsidRDefault="00D81A86" w:rsidP="00D81A86"/>
    <w:p w14:paraId="2137FE67" w14:textId="77777777" w:rsidR="003C7131" w:rsidRPr="00EF35DC" w:rsidRDefault="003C7131" w:rsidP="00D81A86"/>
    <w:p w14:paraId="6F3A4A3D" w14:textId="77777777" w:rsidR="00D81A86" w:rsidRPr="00EF35DC" w:rsidRDefault="00D81A86" w:rsidP="00D81A86">
      <w:pPr>
        <w:numPr>
          <w:ilvl w:val="0"/>
          <w:numId w:val="24"/>
        </w:numPr>
      </w:pPr>
      <w:r w:rsidRPr="00EF35DC">
        <w:t>Every independent prescriber must know how to:</w:t>
      </w:r>
    </w:p>
    <w:p w14:paraId="2A3EEF49" w14:textId="77777777" w:rsidR="00D81A86" w:rsidRPr="00EF35DC" w:rsidRDefault="00D81A86" w:rsidP="00D81A86">
      <w:pPr>
        <w:numPr>
          <w:ilvl w:val="1"/>
          <w:numId w:val="24"/>
        </w:numPr>
      </w:pPr>
      <w:r w:rsidRPr="00EF35DC">
        <w:rPr>
          <w:bCs/>
        </w:rPr>
        <w:t>Take a thorough history and perform a physical examination to diagnose common infections and to assess their severity</w:t>
      </w:r>
    </w:p>
    <w:p w14:paraId="4B6E975D" w14:textId="7D774B5A" w:rsidR="00D81A86" w:rsidRPr="00EF35DC" w:rsidRDefault="00D81A86" w:rsidP="00D81A86">
      <w:pPr>
        <w:numPr>
          <w:ilvl w:val="1"/>
          <w:numId w:val="24"/>
        </w:numPr>
      </w:pPr>
      <w:r w:rsidRPr="00EF35DC">
        <w:rPr>
          <w:bCs/>
        </w:rPr>
        <w:t>Use and interpret investigations that can help in informing diagnosis of an infection and in monitoring the response to treatment (e.g. microbiological investigations, biomarkers, point-of-care tests)</w:t>
      </w:r>
    </w:p>
    <w:p w14:paraId="6E3361CC" w14:textId="77777777" w:rsidR="003C7131" w:rsidRDefault="003C7131" w:rsidP="00D81A86">
      <w:pPr>
        <w:rPr>
          <w:b/>
        </w:rPr>
      </w:pPr>
    </w:p>
    <w:p w14:paraId="777DEEDA" w14:textId="41688FAB" w:rsidR="00D81A86" w:rsidRDefault="00D81A86" w:rsidP="00D81A86">
      <w:pPr>
        <w:rPr>
          <w:b/>
        </w:rPr>
      </w:pPr>
      <w:r w:rsidRPr="00EF35DC">
        <w:rPr>
          <w:b/>
        </w:rPr>
        <w:t>Section 2: Antimicrobial prescribing</w:t>
      </w:r>
    </w:p>
    <w:p w14:paraId="635C6DDC" w14:textId="77777777" w:rsidR="00170BE3" w:rsidRPr="00EF35DC" w:rsidRDefault="00170BE3" w:rsidP="00D81A86"/>
    <w:p w14:paraId="35411E40" w14:textId="77777777" w:rsidR="00D81A86" w:rsidRPr="00EF35DC" w:rsidRDefault="00D81A86" w:rsidP="00D81A86">
      <w:pPr>
        <w:numPr>
          <w:ilvl w:val="0"/>
          <w:numId w:val="26"/>
        </w:numPr>
      </w:pPr>
      <w:r w:rsidRPr="00EF35DC">
        <w:t>Every independent prescriber must understand:</w:t>
      </w:r>
    </w:p>
    <w:p w14:paraId="1E325D3C" w14:textId="77777777" w:rsidR="00D81A86" w:rsidRPr="00EF35DC" w:rsidRDefault="00D81A86" w:rsidP="00D81A86">
      <w:pPr>
        <w:numPr>
          <w:ilvl w:val="1"/>
          <w:numId w:val="26"/>
        </w:numPr>
      </w:pPr>
      <w:r w:rsidRPr="00EF35DC">
        <w:rPr>
          <w:bCs/>
        </w:rPr>
        <w:t>How and where to access relevant guidance on antimicrobial prescribing and stewardship</w:t>
      </w:r>
    </w:p>
    <w:p w14:paraId="0D2F946D" w14:textId="77777777" w:rsidR="00D81A86" w:rsidRPr="00EF35DC" w:rsidRDefault="00D81A86" w:rsidP="00D81A86">
      <w:pPr>
        <w:numPr>
          <w:ilvl w:val="1"/>
          <w:numId w:val="26"/>
        </w:numPr>
      </w:pPr>
      <w:r w:rsidRPr="00EF35DC">
        <w:t xml:space="preserve">When not to prescribe antimicrobials </w:t>
      </w:r>
      <w:r w:rsidRPr="00EF35DC">
        <w:rPr>
          <w:bCs/>
        </w:rPr>
        <w:t>(e.g. antibiotics for viral infections, or when there is bacterial colonisation)</w:t>
      </w:r>
    </w:p>
    <w:p w14:paraId="755DD3F7" w14:textId="77777777" w:rsidR="00D81A86" w:rsidRPr="00EF35DC" w:rsidRDefault="00D81A86" w:rsidP="00D81A86">
      <w:pPr>
        <w:numPr>
          <w:ilvl w:val="1"/>
          <w:numId w:val="26"/>
        </w:numPr>
      </w:pPr>
      <w:r w:rsidRPr="00EF35DC">
        <w:rPr>
          <w:bCs/>
        </w:rPr>
        <w:t xml:space="preserve">That </w:t>
      </w:r>
      <w:r w:rsidRPr="00EF35DC">
        <w:t>best practices for some infections may not include antimicrobial treatment</w:t>
      </w:r>
      <w:r w:rsidRPr="00EF35DC">
        <w:rPr>
          <w:bCs/>
        </w:rPr>
        <w:t xml:space="preserve"> (e.g. incision and drainage of abscesses, removal of foreign material)</w:t>
      </w:r>
    </w:p>
    <w:p w14:paraId="2B9997AE" w14:textId="443BBB4E" w:rsidR="00D81A86" w:rsidRDefault="00D81A86" w:rsidP="00D81A86"/>
    <w:p w14:paraId="428D8444" w14:textId="77777777" w:rsidR="003C7131" w:rsidRPr="00EF35DC" w:rsidRDefault="003C7131" w:rsidP="00D81A86"/>
    <w:p w14:paraId="3E5CA5E2" w14:textId="77777777" w:rsidR="00D81A86" w:rsidRPr="00EF35DC" w:rsidRDefault="00D81A86" w:rsidP="00D81A86">
      <w:pPr>
        <w:numPr>
          <w:ilvl w:val="0"/>
          <w:numId w:val="26"/>
        </w:numPr>
        <w:rPr>
          <w:b/>
          <w:bCs/>
        </w:rPr>
      </w:pPr>
      <w:r w:rsidRPr="00EF35DC">
        <w:t>Every independent prescriber must understand </w:t>
      </w:r>
      <w:r w:rsidRPr="00EF35DC">
        <w:rPr>
          <w:bCs/>
        </w:rPr>
        <w:t>how to select the appropriate antimicrobial, using relevant guidance when possible, as well as the key elements of initiating prescribing an antimicrobial</w:t>
      </w:r>
      <w:r w:rsidRPr="00EF35DC">
        <w:t>:</w:t>
      </w:r>
      <w:r w:rsidRPr="00EF35DC">
        <w:rPr>
          <w:b/>
        </w:rPr>
        <w:t xml:space="preserve"> </w:t>
      </w:r>
    </w:p>
    <w:p w14:paraId="0354A75F" w14:textId="77777777" w:rsidR="00D81A86" w:rsidRPr="00EF35DC" w:rsidRDefault="00D81A86" w:rsidP="00D81A86">
      <w:pPr>
        <w:numPr>
          <w:ilvl w:val="0"/>
          <w:numId w:val="1"/>
        </w:numPr>
      </w:pPr>
      <w:r w:rsidRPr="00EF35DC">
        <w:t>obtaining relevant microbiological cultures or relevant tests before commencing treatment</w:t>
      </w:r>
    </w:p>
    <w:p w14:paraId="61A599F0" w14:textId="77777777" w:rsidR="00D81A86" w:rsidRPr="00EF35DC" w:rsidRDefault="00D81A86" w:rsidP="00D81A86">
      <w:pPr>
        <w:numPr>
          <w:ilvl w:val="0"/>
          <w:numId w:val="1"/>
        </w:numPr>
      </w:pPr>
      <w:r w:rsidRPr="00EF35DC">
        <w:t>the timing of antimicrobial administration in different situations (e.g. as soon as possible for life-threatening infections, less urgently for chronic bone infections)</w:t>
      </w:r>
    </w:p>
    <w:p w14:paraId="290F6F66" w14:textId="77777777" w:rsidR="00D81A86" w:rsidRPr="00EF35DC" w:rsidRDefault="00D81A86" w:rsidP="00D81A86">
      <w:pPr>
        <w:numPr>
          <w:ilvl w:val="0"/>
          <w:numId w:val="1"/>
        </w:numPr>
      </w:pPr>
      <w:r w:rsidRPr="00EF35DC">
        <w:t>the choice and dose of agent, and the route of administration</w:t>
      </w:r>
    </w:p>
    <w:p w14:paraId="5031530D" w14:textId="77777777" w:rsidR="00D81A86" w:rsidRPr="00EF35DC" w:rsidRDefault="00D81A86" w:rsidP="00D81A86">
      <w:pPr>
        <w:numPr>
          <w:ilvl w:val="0"/>
          <w:numId w:val="1"/>
        </w:numPr>
      </w:pPr>
      <w:r w:rsidRPr="00EF35DC">
        <w:t>the duration of treatment, review dates and stop dates</w:t>
      </w:r>
    </w:p>
    <w:p w14:paraId="0F4C0001" w14:textId="4A17F1E1" w:rsidR="00D81A86" w:rsidRDefault="00D81A86" w:rsidP="00D81A86"/>
    <w:p w14:paraId="13A72207" w14:textId="77777777" w:rsidR="003C7131" w:rsidRPr="00EF35DC" w:rsidRDefault="003C7131" w:rsidP="00D81A86"/>
    <w:p w14:paraId="71A8D783" w14:textId="522E3123" w:rsidR="00D81A86" w:rsidRPr="00EF35DC" w:rsidRDefault="00D81A86" w:rsidP="00D81A86">
      <w:pPr>
        <w:numPr>
          <w:ilvl w:val="0"/>
          <w:numId w:val="26"/>
        </w:numPr>
      </w:pPr>
      <w:r w:rsidRPr="00EF35DC">
        <w:t xml:space="preserve">Every independent prescriber must understand </w:t>
      </w:r>
      <w:r w:rsidRPr="00EF35DC">
        <w:rPr>
          <w:bCs/>
        </w:rPr>
        <w:t xml:space="preserve">the key elements of </w:t>
      </w:r>
      <w:r w:rsidR="003E6E41">
        <w:rPr>
          <w:bCs/>
        </w:rPr>
        <w:t xml:space="preserve">continuing and rationalizing </w:t>
      </w:r>
      <w:r w:rsidRPr="00EF35DC">
        <w:rPr>
          <w:bCs/>
        </w:rPr>
        <w:t>antimicrobial therapy</w:t>
      </w:r>
      <w:r w:rsidRPr="00EF35DC">
        <w:t>:</w:t>
      </w:r>
    </w:p>
    <w:p w14:paraId="7560C2C9" w14:textId="77777777" w:rsidR="00D81A86" w:rsidRPr="00EF35DC" w:rsidRDefault="00D81A86" w:rsidP="00D81A86">
      <w:pPr>
        <w:numPr>
          <w:ilvl w:val="0"/>
          <w:numId w:val="3"/>
        </w:numPr>
      </w:pPr>
      <w:r w:rsidRPr="00EF35DC">
        <w:t>monitoring antimicrobial levels when indicated, and adjusting doses (e.g. for patients with renal impairment)</w:t>
      </w:r>
    </w:p>
    <w:p w14:paraId="1C1D7F26" w14:textId="2BE453BA" w:rsidR="00D81A86" w:rsidRPr="00EF35DC" w:rsidRDefault="00D81A86" w:rsidP="00D81A86">
      <w:pPr>
        <w:numPr>
          <w:ilvl w:val="0"/>
          <w:numId w:val="3"/>
        </w:numPr>
      </w:pPr>
      <w:r w:rsidRPr="00EF35DC">
        <w:t>changing antibiotics</w:t>
      </w:r>
      <w:r w:rsidR="006247B2">
        <w:t xml:space="preserve"> according to microbiology results and clinical condition</w:t>
      </w:r>
      <w:r w:rsidRPr="00EF35DC">
        <w:t xml:space="preserve">, ideally to a narrower spectrum (de-escalation) or </w:t>
      </w:r>
      <w:r w:rsidR="006247B2">
        <w:t xml:space="preserve">if needed to a </w:t>
      </w:r>
      <w:r w:rsidRPr="00EF35DC">
        <w:t xml:space="preserve">broader </w:t>
      </w:r>
      <w:r w:rsidR="006247B2">
        <w:t xml:space="preserve">spectrum </w:t>
      </w:r>
      <w:r w:rsidRPr="00EF35DC">
        <w:t>(escalation</w:t>
      </w:r>
      <w:r w:rsidR="006247B2">
        <w:t>)</w:t>
      </w:r>
    </w:p>
    <w:p w14:paraId="32A39E76" w14:textId="77777777" w:rsidR="00D81A86" w:rsidRPr="00EF35DC" w:rsidRDefault="00D81A86" w:rsidP="00D81A86">
      <w:pPr>
        <w:numPr>
          <w:ilvl w:val="0"/>
          <w:numId w:val="3"/>
        </w:numPr>
      </w:pPr>
      <w:r w:rsidRPr="00EF35DC">
        <w:t xml:space="preserve">reviewing antibiotic therapy at 48 to 72h and regularly thereafter in hospitalised patients, and in appropriate situations in the community </w:t>
      </w:r>
    </w:p>
    <w:p w14:paraId="4A02DD8C" w14:textId="77777777" w:rsidR="00D81A86" w:rsidRPr="00EF35DC" w:rsidRDefault="00D81A86" w:rsidP="00D81A86">
      <w:pPr>
        <w:numPr>
          <w:ilvl w:val="0"/>
          <w:numId w:val="3"/>
        </w:numPr>
      </w:pPr>
      <w:r w:rsidRPr="00EF35DC">
        <w:t>switching antibiotics from intravenous to oral administration as soon as possible when indicated (according to guidelines)</w:t>
      </w:r>
    </w:p>
    <w:p w14:paraId="6AFA250A" w14:textId="6A75E503" w:rsidR="00D81A86" w:rsidRPr="00EF35DC" w:rsidRDefault="00D81A86" w:rsidP="00D81A86">
      <w:pPr>
        <w:numPr>
          <w:ilvl w:val="0"/>
          <w:numId w:val="3"/>
        </w:numPr>
      </w:pPr>
      <w:r w:rsidRPr="00EF35DC">
        <w:t xml:space="preserve">stopping antimicrobials if there is no evidence of infection based on clinical findings and investigations </w:t>
      </w:r>
      <w:r w:rsidR="00C21D72">
        <w:t>(</w:t>
      </w:r>
      <w:r w:rsidRPr="00EF35DC">
        <w:t>e.g. negative microbial cultures, imaging reports</w:t>
      </w:r>
      <w:r w:rsidR="00C21D72">
        <w:t>)</w:t>
      </w:r>
    </w:p>
    <w:p w14:paraId="196BE107" w14:textId="0DD11F7E" w:rsidR="00D81A86" w:rsidRDefault="00D81A86" w:rsidP="00D81A86"/>
    <w:p w14:paraId="2AB1DA0D" w14:textId="77777777" w:rsidR="003C7131" w:rsidRPr="00EF35DC" w:rsidRDefault="003C7131" w:rsidP="00D81A86"/>
    <w:p w14:paraId="5AA48EB3" w14:textId="77777777" w:rsidR="00D81A86" w:rsidRPr="00EF35DC" w:rsidRDefault="00D81A86" w:rsidP="00D81A86">
      <w:pPr>
        <w:numPr>
          <w:ilvl w:val="0"/>
          <w:numId w:val="26"/>
        </w:numPr>
      </w:pPr>
      <w:r w:rsidRPr="00EF35DC">
        <w:t>Every independent prescriber must understand the need to document the important details of the antimicrobial treatment plan (e.g. agent, dosing, administration route, clinical indication, duration and review dates) in the prescription chart, medical records and transfer notes to other healthcare institutions</w:t>
      </w:r>
    </w:p>
    <w:p w14:paraId="76035BF7" w14:textId="0406DDD2" w:rsidR="00D81A86" w:rsidRDefault="00D81A86" w:rsidP="00D81A86"/>
    <w:p w14:paraId="16788481" w14:textId="77777777" w:rsidR="003C7131" w:rsidRPr="00EF35DC" w:rsidRDefault="003C7131" w:rsidP="00D81A86"/>
    <w:p w14:paraId="79EC04FE" w14:textId="77777777" w:rsidR="00D81A86" w:rsidRPr="00EF35DC" w:rsidRDefault="00D81A86" w:rsidP="00D81A86">
      <w:pPr>
        <w:numPr>
          <w:ilvl w:val="0"/>
          <w:numId w:val="26"/>
        </w:numPr>
        <w:rPr>
          <w:bCs/>
        </w:rPr>
      </w:pPr>
      <w:r w:rsidRPr="00EF35DC">
        <w:t>Every independent prescriber must understand:</w:t>
      </w:r>
    </w:p>
    <w:p w14:paraId="6E8884A0" w14:textId="77777777" w:rsidR="00D81A86" w:rsidRPr="00EF35DC" w:rsidRDefault="00D81A86" w:rsidP="00D81A86">
      <w:pPr>
        <w:numPr>
          <w:ilvl w:val="1"/>
          <w:numId w:val="26"/>
        </w:numPr>
      </w:pPr>
      <w:r w:rsidRPr="00EF35DC">
        <w:rPr>
          <w:bCs/>
        </w:rPr>
        <w:t>That empirical treatment should be guided by local antimicrobial susceptibility patterns</w:t>
      </w:r>
    </w:p>
    <w:p w14:paraId="0654CDD0" w14:textId="77777777" w:rsidR="00D81A86" w:rsidRPr="00EF35DC" w:rsidRDefault="00D81A86" w:rsidP="00D81A86">
      <w:pPr>
        <w:numPr>
          <w:ilvl w:val="1"/>
          <w:numId w:val="26"/>
        </w:numPr>
      </w:pPr>
      <w:r w:rsidRPr="00EF35DC">
        <w:rPr>
          <w:bCs/>
        </w:rPr>
        <w:lastRenderedPageBreak/>
        <w:t>The clinically relevant spectrum of activity for commonly prescribed antimicrobials</w:t>
      </w:r>
    </w:p>
    <w:p w14:paraId="7E685663" w14:textId="77777777" w:rsidR="00D81A86" w:rsidRPr="00EF35DC" w:rsidRDefault="00D81A86" w:rsidP="00D81A86">
      <w:pPr>
        <w:numPr>
          <w:ilvl w:val="1"/>
          <w:numId w:val="26"/>
        </w:numPr>
      </w:pPr>
      <w:r w:rsidRPr="00EF35DC">
        <w:t>The basic principles of pharmacokinetics and pharmacodynamics</w:t>
      </w:r>
    </w:p>
    <w:p w14:paraId="03C70C27" w14:textId="287FF9B8" w:rsidR="00D81A86" w:rsidRDefault="00D81A86" w:rsidP="00D81A86"/>
    <w:p w14:paraId="509BCBCE" w14:textId="77777777" w:rsidR="003C7131" w:rsidRPr="00EF35DC" w:rsidRDefault="003C7131" w:rsidP="00D81A86"/>
    <w:p w14:paraId="0629F522" w14:textId="77777777" w:rsidR="00D81A86" w:rsidRPr="00EF35DC" w:rsidRDefault="00D81A86" w:rsidP="00D81A86">
      <w:pPr>
        <w:numPr>
          <w:ilvl w:val="0"/>
          <w:numId w:val="26"/>
        </w:numPr>
      </w:pPr>
      <w:r w:rsidRPr="00EF35DC">
        <w:t>When prescribing an antimicrobial, every independent prescriber must know:</w:t>
      </w:r>
    </w:p>
    <w:p w14:paraId="12ADDF56" w14:textId="77777777" w:rsidR="00D81A86" w:rsidRPr="00EF35DC" w:rsidRDefault="00D81A86" w:rsidP="00D81A86">
      <w:pPr>
        <w:numPr>
          <w:ilvl w:val="1"/>
          <w:numId w:val="26"/>
        </w:numPr>
      </w:pPr>
      <w:r w:rsidRPr="00EF35DC">
        <w:t xml:space="preserve">The </w:t>
      </w:r>
      <w:r w:rsidRPr="00EF35DC">
        <w:rPr>
          <w:bCs/>
        </w:rPr>
        <w:t>antimicrobial class that the agent belongs to, and the contraindications to its use</w:t>
      </w:r>
    </w:p>
    <w:p w14:paraId="335DB2BF" w14:textId="77777777" w:rsidR="00D81A86" w:rsidRPr="00EF35DC" w:rsidRDefault="00D81A86" w:rsidP="00D81A86">
      <w:pPr>
        <w:numPr>
          <w:ilvl w:val="1"/>
          <w:numId w:val="26"/>
        </w:numPr>
      </w:pPr>
      <w:r w:rsidRPr="00EF35DC">
        <w:t>The name and class of antimicrobial being prescribed, if prescribing by trade name</w:t>
      </w:r>
    </w:p>
    <w:p w14:paraId="2C9F0E52" w14:textId="03E66E03" w:rsidR="00D81A86" w:rsidRDefault="00D81A86" w:rsidP="00D81A86"/>
    <w:p w14:paraId="3A172A34" w14:textId="77777777" w:rsidR="003C7131" w:rsidRPr="00EF35DC" w:rsidRDefault="003C7131" w:rsidP="00D81A86"/>
    <w:p w14:paraId="6CF53DD2" w14:textId="77777777" w:rsidR="00D81A86" w:rsidRPr="00EF35DC" w:rsidRDefault="00D81A86" w:rsidP="00D81A86">
      <w:pPr>
        <w:numPr>
          <w:ilvl w:val="0"/>
          <w:numId w:val="26"/>
        </w:numPr>
        <w:rPr>
          <w:bCs/>
        </w:rPr>
      </w:pPr>
      <w:r w:rsidRPr="00EF35DC">
        <w:t xml:space="preserve">Every independent prescriber must understand single prophylactic dosing for surgical and other procedures for which prophylaxis has been shown to be effective, and that </w:t>
      </w:r>
      <w:r w:rsidRPr="00EF35DC">
        <w:rPr>
          <w:bCs/>
        </w:rPr>
        <w:t>additional prophylactic antimicrobial doses can occasionally be needed (e.g. when the duration of the operation/procedure is prolonged)</w:t>
      </w:r>
      <w:r w:rsidRPr="00EF35DC">
        <w:t>.</w:t>
      </w:r>
    </w:p>
    <w:p w14:paraId="17519FEC" w14:textId="25BAE0D0" w:rsidR="00D81A86" w:rsidRDefault="00D81A86" w:rsidP="00D81A86"/>
    <w:p w14:paraId="0D4F4FD3" w14:textId="77777777" w:rsidR="003C7131" w:rsidRPr="00EF35DC" w:rsidRDefault="003C7131" w:rsidP="00D81A86"/>
    <w:p w14:paraId="3170D350" w14:textId="77777777" w:rsidR="00D81A86" w:rsidRPr="00EF35DC" w:rsidRDefault="00D81A86" w:rsidP="00D81A86">
      <w:pPr>
        <w:numPr>
          <w:ilvl w:val="0"/>
          <w:numId w:val="26"/>
        </w:numPr>
        <w:rPr>
          <w:bCs/>
        </w:rPr>
      </w:pPr>
      <w:r w:rsidRPr="00EF35DC">
        <w:t>Every independent prescriber must know:</w:t>
      </w:r>
    </w:p>
    <w:p w14:paraId="50676ED7" w14:textId="77777777" w:rsidR="00D81A86" w:rsidRPr="00EF35DC" w:rsidRDefault="00D81A86" w:rsidP="00D81A86">
      <w:pPr>
        <w:numPr>
          <w:ilvl w:val="1"/>
          <w:numId w:val="26"/>
        </w:numPr>
      </w:pPr>
      <w:r w:rsidRPr="00EF35DC">
        <w:rPr>
          <w:bCs/>
        </w:rPr>
        <w:t>Common antimicrobial and drug/food interactions</w:t>
      </w:r>
    </w:p>
    <w:p w14:paraId="2B141296" w14:textId="77777777" w:rsidR="00D81A86" w:rsidRPr="00EF35DC" w:rsidRDefault="00D81A86" w:rsidP="00D81A86">
      <w:pPr>
        <w:numPr>
          <w:ilvl w:val="1"/>
          <w:numId w:val="26"/>
        </w:numPr>
        <w:rPr>
          <w:bCs/>
        </w:rPr>
      </w:pPr>
      <w:r w:rsidRPr="00EF35DC">
        <w:rPr>
          <w:bCs/>
        </w:rPr>
        <w:t>Common side-effects of antimicrobials, including allergy, how to monitor for them</w:t>
      </w:r>
      <w:r w:rsidRPr="00EF35DC">
        <w:t xml:space="preserve">, and what to do when they are suspected </w:t>
      </w:r>
      <w:r w:rsidRPr="00EF35DC">
        <w:rPr>
          <w:bCs/>
        </w:rPr>
        <w:t>(e.g. documenting allergic reactions in patient records, reporting side-effects)</w:t>
      </w:r>
    </w:p>
    <w:p w14:paraId="3C19CE39" w14:textId="36B61756" w:rsidR="00D81A86" w:rsidRDefault="00D81A86" w:rsidP="00D81A86"/>
    <w:p w14:paraId="02AA153D" w14:textId="77777777" w:rsidR="003C7131" w:rsidRPr="00EF35DC" w:rsidRDefault="003C7131" w:rsidP="00D81A86"/>
    <w:p w14:paraId="4509305B" w14:textId="77777777" w:rsidR="00D81A86" w:rsidRPr="00EF35DC" w:rsidRDefault="00D81A86" w:rsidP="00D81A86">
      <w:pPr>
        <w:numPr>
          <w:ilvl w:val="0"/>
          <w:numId w:val="26"/>
        </w:numPr>
      </w:pPr>
      <w:r w:rsidRPr="00EF35DC">
        <w:t>Every independent prescriber must understand</w:t>
      </w:r>
      <w:r w:rsidRPr="00EF35DC">
        <w:rPr>
          <w:bCs/>
        </w:rPr>
        <w:t xml:space="preserve"> any legal requirements for prescribing antimicrobials in their country, and comply with these when prescribing</w:t>
      </w:r>
    </w:p>
    <w:p w14:paraId="0C90F01F" w14:textId="77777777" w:rsidR="00D81A86" w:rsidRPr="00EF35DC" w:rsidRDefault="00D81A86" w:rsidP="00D81A86">
      <w:pPr>
        <w:rPr>
          <w:b/>
        </w:rPr>
      </w:pPr>
    </w:p>
    <w:p w14:paraId="2F589FAB" w14:textId="77777777" w:rsidR="00D81A86" w:rsidRPr="00EF35DC" w:rsidRDefault="00D81A86" w:rsidP="00D81A86">
      <w:pPr>
        <w:rPr>
          <w:b/>
        </w:rPr>
      </w:pPr>
    </w:p>
    <w:p w14:paraId="75F224C1" w14:textId="1E4B4B4F" w:rsidR="00D81A86" w:rsidRDefault="00D81A86" w:rsidP="00D81A86">
      <w:pPr>
        <w:rPr>
          <w:b/>
        </w:rPr>
      </w:pPr>
      <w:r w:rsidRPr="00EF35DC">
        <w:rPr>
          <w:b/>
        </w:rPr>
        <w:t>Section 3: Antimicrobial stewardship</w:t>
      </w:r>
    </w:p>
    <w:p w14:paraId="4994EB1E" w14:textId="77777777" w:rsidR="003C7131" w:rsidRPr="00EF35DC" w:rsidRDefault="003C7131" w:rsidP="00D81A86">
      <w:pPr>
        <w:rPr>
          <w:b/>
        </w:rPr>
      </w:pPr>
    </w:p>
    <w:p w14:paraId="657904CF" w14:textId="77777777" w:rsidR="00D81A86" w:rsidRPr="00EF35DC" w:rsidRDefault="00D81A86" w:rsidP="00D81A86">
      <w:pPr>
        <w:numPr>
          <w:ilvl w:val="0"/>
          <w:numId w:val="31"/>
        </w:numPr>
      </w:pPr>
      <w:r w:rsidRPr="00EF35DC">
        <w:t>Every independent prescriber must understand that:</w:t>
      </w:r>
    </w:p>
    <w:p w14:paraId="6EBA6D69" w14:textId="77777777" w:rsidR="00D81A86" w:rsidRPr="00EF35DC" w:rsidRDefault="00D81A86" w:rsidP="00D81A86">
      <w:pPr>
        <w:numPr>
          <w:ilvl w:val="1"/>
          <w:numId w:val="31"/>
        </w:numPr>
      </w:pPr>
      <w:r w:rsidRPr="00EF35DC">
        <w:t>Antimicrobials need to be used responsibly</w:t>
      </w:r>
      <w:r w:rsidRPr="00EF35DC">
        <w:rPr>
          <w:bCs/>
        </w:rPr>
        <w:t xml:space="preserve"> to prevent the emergence and spread of antimicrobial resistance</w:t>
      </w:r>
    </w:p>
    <w:p w14:paraId="01044AC9" w14:textId="67644D12" w:rsidR="00D81A86" w:rsidRPr="00EF35DC" w:rsidRDefault="00D81A86" w:rsidP="00D81A86">
      <w:pPr>
        <w:numPr>
          <w:ilvl w:val="1"/>
          <w:numId w:val="31"/>
        </w:numPr>
      </w:pPr>
      <w:r w:rsidRPr="00EF35DC">
        <w:t xml:space="preserve">Optimising antimicrobial use can limit the common side effects and collateral damage related to treatment (e.g. their disruptive effects on </w:t>
      </w:r>
      <w:r w:rsidR="008B3F5B">
        <w:t>the normal host flora</w:t>
      </w:r>
      <w:r w:rsidRPr="00EF35DC">
        <w:t xml:space="preserve">, which may lead to </w:t>
      </w:r>
      <w:r w:rsidRPr="00EF35DC">
        <w:rPr>
          <w:i/>
        </w:rPr>
        <w:t>Clostridium difficile</w:t>
      </w:r>
      <w:r w:rsidRPr="00EF35DC">
        <w:t xml:space="preserve"> infection, super-infection with </w:t>
      </w:r>
      <w:r w:rsidRPr="00EF35DC">
        <w:rPr>
          <w:i/>
        </w:rPr>
        <w:t>Candida spp.</w:t>
      </w:r>
      <w:r w:rsidRPr="00EF35DC">
        <w:t>)</w:t>
      </w:r>
    </w:p>
    <w:p w14:paraId="1CB5BB64" w14:textId="420A3AA3" w:rsidR="00D81A86" w:rsidRPr="00EF35DC" w:rsidRDefault="00D81A86" w:rsidP="00D81A86">
      <w:pPr>
        <w:numPr>
          <w:ilvl w:val="1"/>
          <w:numId w:val="31"/>
        </w:numPr>
        <w:rPr>
          <w:bCs/>
        </w:rPr>
      </w:pPr>
      <w:r w:rsidRPr="00EF35DC">
        <w:t xml:space="preserve">It is important to avoid unnecessary </w:t>
      </w:r>
      <w:r w:rsidR="008B3F5B">
        <w:t xml:space="preserve">uses of </w:t>
      </w:r>
      <w:r w:rsidRPr="00EF35DC">
        <w:t>antimicrobial</w:t>
      </w:r>
      <w:r w:rsidR="008B3F5B">
        <w:t>s</w:t>
      </w:r>
      <w:r w:rsidRPr="00EF35DC">
        <w:rPr>
          <w:bCs/>
        </w:rPr>
        <w:t>, especially those with a broad</w:t>
      </w:r>
      <w:r w:rsidR="001D3A5F">
        <w:rPr>
          <w:bCs/>
        </w:rPr>
        <w:t xml:space="preserve"> </w:t>
      </w:r>
      <w:r w:rsidRPr="00EF35DC">
        <w:rPr>
          <w:bCs/>
        </w:rPr>
        <w:t>spectrum</w:t>
      </w:r>
    </w:p>
    <w:p w14:paraId="02E2B1EA" w14:textId="77777777" w:rsidR="00D81A86" w:rsidRPr="00EF35DC" w:rsidRDefault="00D81A86" w:rsidP="00D81A86">
      <w:pPr>
        <w:numPr>
          <w:ilvl w:val="1"/>
          <w:numId w:val="31"/>
        </w:numPr>
        <w:rPr>
          <w:bCs/>
        </w:rPr>
      </w:pPr>
      <w:r w:rsidRPr="00EF35DC">
        <w:rPr>
          <w:bCs/>
        </w:rPr>
        <w:t>Transmission of micro-organisms in community and hospital settings can significantly amplify antimicrobial resistance</w:t>
      </w:r>
    </w:p>
    <w:p w14:paraId="4DD02108" w14:textId="51FD7437" w:rsidR="00D81A86" w:rsidRDefault="00D81A86" w:rsidP="00D81A86"/>
    <w:p w14:paraId="03603E86" w14:textId="77777777" w:rsidR="003C7131" w:rsidRPr="00EF35DC" w:rsidRDefault="003C7131" w:rsidP="00D81A86"/>
    <w:p w14:paraId="449008E3" w14:textId="77777777" w:rsidR="00D81A86" w:rsidRPr="00EF35DC" w:rsidRDefault="00D81A86" w:rsidP="00D81A86">
      <w:pPr>
        <w:numPr>
          <w:ilvl w:val="0"/>
          <w:numId w:val="31"/>
        </w:numPr>
      </w:pPr>
      <w:r w:rsidRPr="00EF35DC">
        <w:t>Every independent prescriber must understand </w:t>
      </w:r>
      <w:r w:rsidRPr="00EF35DC">
        <w:rPr>
          <w:bCs/>
        </w:rPr>
        <w:t>local stewardship policies based on national (or international where these do not exist) evidence-based guidelines</w:t>
      </w:r>
    </w:p>
    <w:p w14:paraId="64B1BE82" w14:textId="710CBA6F" w:rsidR="00D81A86" w:rsidRDefault="00D81A86" w:rsidP="00D81A86"/>
    <w:p w14:paraId="10591AAE" w14:textId="77777777" w:rsidR="003C7131" w:rsidRPr="00EF35DC" w:rsidRDefault="003C7131" w:rsidP="00D81A86"/>
    <w:p w14:paraId="11E67D76" w14:textId="77777777" w:rsidR="00D81A86" w:rsidRPr="00EF35DC" w:rsidRDefault="00D81A86" w:rsidP="00D81A86">
      <w:pPr>
        <w:numPr>
          <w:ilvl w:val="0"/>
          <w:numId w:val="31"/>
        </w:numPr>
      </w:pPr>
      <w:r w:rsidRPr="00EF35DC">
        <w:t>Every independent prescriber must understand</w:t>
      </w:r>
      <w:r w:rsidRPr="00EF35DC">
        <w:rPr>
          <w:bCs/>
        </w:rPr>
        <w:t xml:space="preserve"> and engage with any locally or nationally agreed quality measures for assessing antimicrobial prescriptions (e.g. compliance with </w:t>
      </w:r>
      <w:r w:rsidRPr="00EF35DC">
        <w:rPr>
          <w:bCs/>
        </w:rPr>
        <w:lastRenderedPageBreak/>
        <w:t xml:space="preserve">guidance, adverse events, </w:t>
      </w:r>
      <w:r w:rsidRPr="00EF35DC">
        <w:t>reviews of antibiotic therapy at 48 to 72h in hospitalised patients</w:t>
      </w:r>
      <w:r w:rsidRPr="00EF35DC">
        <w:rPr>
          <w:bCs/>
        </w:rPr>
        <w:t>)</w:t>
      </w:r>
    </w:p>
    <w:p w14:paraId="5267D17C" w14:textId="78B83DFF" w:rsidR="00D81A86" w:rsidRDefault="00D81A86" w:rsidP="00D81A86"/>
    <w:p w14:paraId="4F2F6A07" w14:textId="77777777" w:rsidR="003C7131" w:rsidRPr="00EF35DC" w:rsidRDefault="003C7131" w:rsidP="00D81A86"/>
    <w:p w14:paraId="73DC7608" w14:textId="77777777" w:rsidR="00D81A86" w:rsidRPr="00EF35DC" w:rsidRDefault="00D81A86" w:rsidP="00D81A86">
      <w:pPr>
        <w:numPr>
          <w:ilvl w:val="0"/>
          <w:numId w:val="31"/>
        </w:numPr>
      </w:pPr>
      <w:r w:rsidRPr="00EF35DC">
        <w:t xml:space="preserve">Every independent prescriber must </w:t>
      </w:r>
      <w:r w:rsidRPr="00EF35DC">
        <w:rPr>
          <w:bCs/>
        </w:rPr>
        <w:t xml:space="preserve">know how to communicate with patients and their </w:t>
      </w:r>
      <w:proofErr w:type="spellStart"/>
      <w:r w:rsidRPr="00EF35DC">
        <w:rPr>
          <w:bCs/>
        </w:rPr>
        <w:t>carers</w:t>
      </w:r>
      <w:proofErr w:type="spellEnd"/>
      <w:r w:rsidRPr="00EF35DC">
        <w:rPr>
          <w:bCs/>
        </w:rPr>
        <w:t>, nurses, pharmacists and other healthcare professionals about:</w:t>
      </w:r>
    </w:p>
    <w:p w14:paraId="6BA91800" w14:textId="77777777" w:rsidR="00D81A86" w:rsidRPr="00EF35DC" w:rsidRDefault="00D81A86" w:rsidP="00D81A86">
      <w:pPr>
        <w:numPr>
          <w:ilvl w:val="1"/>
          <w:numId w:val="31"/>
        </w:numPr>
      </w:pPr>
      <w:r w:rsidRPr="00EF35DC">
        <w:t>When antimicrobials are not needed</w:t>
      </w:r>
    </w:p>
    <w:p w14:paraId="510AA505" w14:textId="77777777" w:rsidR="00D81A86" w:rsidRPr="00EF35DC" w:rsidRDefault="00D81A86" w:rsidP="00D81A86">
      <w:pPr>
        <w:numPr>
          <w:ilvl w:val="1"/>
          <w:numId w:val="31"/>
        </w:numPr>
      </w:pPr>
      <w:r w:rsidRPr="00EF35DC">
        <w:t>Complying with the duration and frequency of administration of their prescribed antimicrobials</w:t>
      </w:r>
    </w:p>
    <w:p w14:paraId="206995BF" w14:textId="69037B43" w:rsidR="00D81A86" w:rsidRDefault="00D81A86" w:rsidP="00D81A86"/>
    <w:p w14:paraId="459CA8AF" w14:textId="77777777" w:rsidR="003C7131" w:rsidRPr="00EF35DC" w:rsidRDefault="003C7131" w:rsidP="00D81A86"/>
    <w:p w14:paraId="0DA28D91" w14:textId="77777777" w:rsidR="00D81A86" w:rsidRDefault="00D81A86" w:rsidP="00D81A86">
      <w:pPr>
        <w:pStyle w:val="Listenabsatz"/>
        <w:numPr>
          <w:ilvl w:val="0"/>
          <w:numId w:val="31"/>
        </w:numPr>
      </w:pPr>
      <w:r w:rsidRPr="00EF35DC">
        <w:t>Every independent prescriber must recognise that it is a duty of care to co-operate with others more expert than oneself, such as the antimicrobial stewardship team, when such expertise is needed</w:t>
      </w:r>
    </w:p>
    <w:p w14:paraId="3B671324" w14:textId="3B96CFB9" w:rsidR="0031562C" w:rsidRPr="0004462D" w:rsidRDefault="0031562C" w:rsidP="00D81A86"/>
    <w:sectPr w:rsidR="0031562C" w:rsidRPr="0004462D" w:rsidSect="00926EBE">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3940B" w14:textId="77777777" w:rsidR="00A55CD5" w:rsidRDefault="00A55CD5" w:rsidP="003C1ED1">
      <w:r>
        <w:separator/>
      </w:r>
    </w:p>
  </w:endnote>
  <w:endnote w:type="continuationSeparator" w:id="0">
    <w:p w14:paraId="61D2E671" w14:textId="77777777" w:rsidR="00A55CD5" w:rsidRDefault="00A55CD5" w:rsidP="003C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lÀ˛">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C3CF" w14:textId="77777777" w:rsidR="009C345E" w:rsidRDefault="009C345E" w:rsidP="00062F7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56E813" w14:textId="77777777" w:rsidR="009C345E" w:rsidRDefault="009C345E" w:rsidP="009C345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A2C9" w14:textId="77777777" w:rsidR="009C345E" w:rsidRDefault="009C345E" w:rsidP="00062F7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77FDD">
      <w:rPr>
        <w:rStyle w:val="Seitenzahl"/>
        <w:noProof/>
      </w:rPr>
      <w:t>1</w:t>
    </w:r>
    <w:r>
      <w:rPr>
        <w:rStyle w:val="Seitenzahl"/>
      </w:rPr>
      <w:fldChar w:fldCharType="end"/>
    </w:r>
  </w:p>
  <w:p w14:paraId="1E29C699" w14:textId="77777777" w:rsidR="009C345E" w:rsidRDefault="009C345E" w:rsidP="009C345E">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3B66F" w14:textId="77777777" w:rsidR="00A55CD5" w:rsidRDefault="00A55CD5" w:rsidP="003C1ED1">
      <w:r>
        <w:separator/>
      </w:r>
    </w:p>
  </w:footnote>
  <w:footnote w:type="continuationSeparator" w:id="0">
    <w:p w14:paraId="5BD049F5" w14:textId="77777777" w:rsidR="00A55CD5" w:rsidRDefault="00A55CD5" w:rsidP="003C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ECD7" w14:textId="1A0AEB7D" w:rsidR="007C4E94" w:rsidRDefault="007C4E94" w:rsidP="00C4291A">
    <w:pPr>
      <w:pStyle w:val="Kopfzeile"/>
      <w:jc w:val="right"/>
    </w:pPr>
    <w:r>
      <w:rPr>
        <w:noProof/>
        <w:lang w:eastAsia="en-GB"/>
      </w:rPr>
      <w:drawing>
        <wp:anchor distT="0" distB="0" distL="114300" distR="114300" simplePos="0" relativeHeight="251658240" behindDoc="0" locked="0" layoutInCell="1" allowOverlap="1" wp14:anchorId="5190302D" wp14:editId="4D5C1EDE">
          <wp:simplePos x="0" y="0"/>
          <wp:positionH relativeFrom="column">
            <wp:posOffset>-13012</wp:posOffset>
          </wp:positionH>
          <wp:positionV relativeFrom="paragraph">
            <wp:posOffset>78455</wp:posOffset>
          </wp:positionV>
          <wp:extent cx="2540000" cy="368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MID_Logo_rgb.jpg"/>
                  <pic:cNvPicPr/>
                </pic:nvPicPr>
                <pic:blipFill>
                  <a:blip r:embed="rId1">
                    <a:extLst>
                      <a:ext uri="{28A0092B-C50C-407E-A947-70E740481C1C}">
                        <a14:useLocalDpi xmlns:a14="http://schemas.microsoft.com/office/drawing/2010/main" val="0"/>
                      </a:ext>
                    </a:extLst>
                  </a:blip>
                  <a:stretch>
                    <a:fillRect/>
                  </a:stretch>
                </pic:blipFill>
                <pic:spPr>
                  <a:xfrm>
                    <a:off x="0" y="0"/>
                    <a:ext cx="2540000" cy="368300"/>
                  </a:xfrm>
                  <a:prstGeom prst="rect">
                    <a:avLst/>
                  </a:prstGeom>
                </pic:spPr>
              </pic:pic>
            </a:graphicData>
          </a:graphic>
          <wp14:sizeRelH relativeFrom="page">
            <wp14:pctWidth>0</wp14:pctWidth>
          </wp14:sizeRelH>
          <wp14:sizeRelV relativeFrom="page">
            <wp14:pctHeight>0</wp14:pctHeight>
          </wp14:sizeRelV>
        </wp:anchor>
      </w:drawing>
    </w:r>
  </w:p>
  <w:p w14:paraId="7D5051B6" w14:textId="57C67ECD" w:rsidR="00C4291A" w:rsidRDefault="00C4291A" w:rsidP="00C4291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6BE"/>
    <w:multiLevelType w:val="hybridMultilevel"/>
    <w:tmpl w:val="8F8A0D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3B721A9"/>
    <w:multiLevelType w:val="multilevel"/>
    <w:tmpl w:val="AE848B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C05BE4"/>
    <w:multiLevelType w:val="hybridMultilevel"/>
    <w:tmpl w:val="FE02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67492"/>
    <w:multiLevelType w:val="hybridMultilevel"/>
    <w:tmpl w:val="CA9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E65D3"/>
    <w:multiLevelType w:val="hybridMultilevel"/>
    <w:tmpl w:val="52E2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F46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4D6F11"/>
    <w:multiLevelType w:val="hybridMultilevel"/>
    <w:tmpl w:val="33547D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AB245F1"/>
    <w:multiLevelType w:val="hybridMultilevel"/>
    <w:tmpl w:val="0526C4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EA43FDF"/>
    <w:multiLevelType w:val="hybridMultilevel"/>
    <w:tmpl w:val="2A207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EA34D4"/>
    <w:multiLevelType w:val="hybridMultilevel"/>
    <w:tmpl w:val="6B9A56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6C26DD"/>
    <w:multiLevelType w:val="hybridMultilevel"/>
    <w:tmpl w:val="39EC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D50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4A075B"/>
    <w:multiLevelType w:val="hybridMultilevel"/>
    <w:tmpl w:val="CAE8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10376"/>
    <w:multiLevelType w:val="hybridMultilevel"/>
    <w:tmpl w:val="410617AE"/>
    <w:lvl w:ilvl="0" w:tplc="8826A308">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B518B2"/>
    <w:multiLevelType w:val="hybridMultilevel"/>
    <w:tmpl w:val="282C99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36939"/>
    <w:multiLevelType w:val="hybridMultilevel"/>
    <w:tmpl w:val="DB42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77382"/>
    <w:multiLevelType w:val="hybridMultilevel"/>
    <w:tmpl w:val="42B8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62D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0909E5"/>
    <w:multiLevelType w:val="hybridMultilevel"/>
    <w:tmpl w:val="6FB6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93B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9B4F87"/>
    <w:multiLevelType w:val="hybridMultilevel"/>
    <w:tmpl w:val="545E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192C6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70094D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6717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E427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6F0B71"/>
    <w:multiLevelType w:val="hybridMultilevel"/>
    <w:tmpl w:val="63EC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F7357"/>
    <w:multiLevelType w:val="hybridMultilevel"/>
    <w:tmpl w:val="436C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02139"/>
    <w:multiLevelType w:val="hybridMultilevel"/>
    <w:tmpl w:val="9324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A0ED3"/>
    <w:multiLevelType w:val="hybridMultilevel"/>
    <w:tmpl w:val="EAF2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E250B3"/>
    <w:multiLevelType w:val="multilevel"/>
    <w:tmpl w:val="AE848B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FB0565"/>
    <w:multiLevelType w:val="multilevel"/>
    <w:tmpl w:val="AE848B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2"/>
  </w:num>
  <w:num w:numId="4">
    <w:abstractNumId w:val="13"/>
  </w:num>
  <w:num w:numId="5">
    <w:abstractNumId w:val="9"/>
  </w:num>
  <w:num w:numId="6">
    <w:abstractNumId w:val="15"/>
  </w:num>
  <w:num w:numId="7">
    <w:abstractNumId w:val="0"/>
  </w:num>
  <w:num w:numId="8">
    <w:abstractNumId w:val="7"/>
  </w:num>
  <w:num w:numId="9">
    <w:abstractNumId w:val="6"/>
  </w:num>
  <w:num w:numId="10">
    <w:abstractNumId w:val="8"/>
  </w:num>
  <w:num w:numId="11">
    <w:abstractNumId w:val="10"/>
  </w:num>
  <w:num w:numId="12">
    <w:abstractNumId w:val="3"/>
  </w:num>
  <w:num w:numId="13">
    <w:abstractNumId w:val="20"/>
  </w:num>
  <w:num w:numId="14">
    <w:abstractNumId w:val="25"/>
  </w:num>
  <w:num w:numId="15">
    <w:abstractNumId w:val="16"/>
  </w:num>
  <w:num w:numId="16">
    <w:abstractNumId w:val="28"/>
  </w:num>
  <w:num w:numId="17">
    <w:abstractNumId w:val="18"/>
  </w:num>
  <w:num w:numId="18">
    <w:abstractNumId w:val="27"/>
  </w:num>
  <w:num w:numId="19">
    <w:abstractNumId w:val="26"/>
  </w:num>
  <w:num w:numId="20">
    <w:abstractNumId w:val="14"/>
  </w:num>
  <w:num w:numId="21">
    <w:abstractNumId w:val="11"/>
  </w:num>
  <w:num w:numId="22">
    <w:abstractNumId w:val="19"/>
  </w:num>
  <w:num w:numId="23">
    <w:abstractNumId w:val="5"/>
  </w:num>
  <w:num w:numId="24">
    <w:abstractNumId w:val="22"/>
  </w:num>
  <w:num w:numId="25">
    <w:abstractNumId w:val="24"/>
  </w:num>
  <w:num w:numId="26">
    <w:abstractNumId w:val="30"/>
  </w:num>
  <w:num w:numId="27">
    <w:abstractNumId w:val="21"/>
  </w:num>
  <w:num w:numId="28">
    <w:abstractNumId w:val="17"/>
  </w:num>
  <w:num w:numId="29">
    <w:abstractNumId w:val="29"/>
  </w:num>
  <w:num w:numId="30">
    <w:abstractNumId w:val="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7B"/>
    <w:rsid w:val="00002DAC"/>
    <w:rsid w:val="00005C0D"/>
    <w:rsid w:val="00010ABC"/>
    <w:rsid w:val="00010BB1"/>
    <w:rsid w:val="000158EC"/>
    <w:rsid w:val="000302C9"/>
    <w:rsid w:val="00031F95"/>
    <w:rsid w:val="0004462D"/>
    <w:rsid w:val="00056CCB"/>
    <w:rsid w:val="000637B0"/>
    <w:rsid w:val="0006686A"/>
    <w:rsid w:val="00067C4B"/>
    <w:rsid w:val="00082018"/>
    <w:rsid w:val="00082329"/>
    <w:rsid w:val="0008582F"/>
    <w:rsid w:val="000A54F8"/>
    <w:rsid w:val="000B7622"/>
    <w:rsid w:val="000C28E3"/>
    <w:rsid w:val="000C7696"/>
    <w:rsid w:val="000D4488"/>
    <w:rsid w:val="000D5B34"/>
    <w:rsid w:val="000E63FF"/>
    <w:rsid w:val="0010769D"/>
    <w:rsid w:val="001106B6"/>
    <w:rsid w:val="00111F9E"/>
    <w:rsid w:val="0012441D"/>
    <w:rsid w:val="0012618C"/>
    <w:rsid w:val="001509FA"/>
    <w:rsid w:val="00152724"/>
    <w:rsid w:val="001550FA"/>
    <w:rsid w:val="00155802"/>
    <w:rsid w:val="001559D8"/>
    <w:rsid w:val="00166678"/>
    <w:rsid w:val="00170BE3"/>
    <w:rsid w:val="001923ED"/>
    <w:rsid w:val="00193522"/>
    <w:rsid w:val="00195F17"/>
    <w:rsid w:val="00196DE7"/>
    <w:rsid w:val="001A0405"/>
    <w:rsid w:val="001D3A5F"/>
    <w:rsid w:val="001D6B44"/>
    <w:rsid w:val="001E1931"/>
    <w:rsid w:val="001E3179"/>
    <w:rsid w:val="00217B00"/>
    <w:rsid w:val="002352A8"/>
    <w:rsid w:val="002358EA"/>
    <w:rsid w:val="00235B82"/>
    <w:rsid w:val="002376A4"/>
    <w:rsid w:val="00244C8B"/>
    <w:rsid w:val="0025140D"/>
    <w:rsid w:val="0026273A"/>
    <w:rsid w:val="00265EB6"/>
    <w:rsid w:val="00266E57"/>
    <w:rsid w:val="00270ED0"/>
    <w:rsid w:val="00273623"/>
    <w:rsid w:val="00273F8C"/>
    <w:rsid w:val="0027598A"/>
    <w:rsid w:val="00286BD0"/>
    <w:rsid w:val="002951C1"/>
    <w:rsid w:val="002C78F9"/>
    <w:rsid w:val="002E62CB"/>
    <w:rsid w:val="002E6689"/>
    <w:rsid w:val="002F420D"/>
    <w:rsid w:val="00305C07"/>
    <w:rsid w:val="0031562C"/>
    <w:rsid w:val="00322361"/>
    <w:rsid w:val="00325C36"/>
    <w:rsid w:val="00336402"/>
    <w:rsid w:val="003414AA"/>
    <w:rsid w:val="00345429"/>
    <w:rsid w:val="00346952"/>
    <w:rsid w:val="003505E2"/>
    <w:rsid w:val="00355BFB"/>
    <w:rsid w:val="0037259E"/>
    <w:rsid w:val="00377FB7"/>
    <w:rsid w:val="0038392B"/>
    <w:rsid w:val="00387DAD"/>
    <w:rsid w:val="0039209B"/>
    <w:rsid w:val="003C0347"/>
    <w:rsid w:val="003C1ED1"/>
    <w:rsid w:val="003C4476"/>
    <w:rsid w:val="003C50F7"/>
    <w:rsid w:val="003C7131"/>
    <w:rsid w:val="003C7166"/>
    <w:rsid w:val="003E64D3"/>
    <w:rsid w:val="003E6E41"/>
    <w:rsid w:val="003F3B05"/>
    <w:rsid w:val="0040468F"/>
    <w:rsid w:val="00411BAD"/>
    <w:rsid w:val="00412177"/>
    <w:rsid w:val="00414C2C"/>
    <w:rsid w:val="00417200"/>
    <w:rsid w:val="0042387B"/>
    <w:rsid w:val="00437F94"/>
    <w:rsid w:val="0045172B"/>
    <w:rsid w:val="004756B6"/>
    <w:rsid w:val="00475CEB"/>
    <w:rsid w:val="004805EF"/>
    <w:rsid w:val="00487EAA"/>
    <w:rsid w:val="0049171B"/>
    <w:rsid w:val="00494989"/>
    <w:rsid w:val="004A1549"/>
    <w:rsid w:val="004B71DD"/>
    <w:rsid w:val="004D22A4"/>
    <w:rsid w:val="004D2608"/>
    <w:rsid w:val="004D27D3"/>
    <w:rsid w:val="004D4921"/>
    <w:rsid w:val="004D69F4"/>
    <w:rsid w:val="004E422D"/>
    <w:rsid w:val="004E44FF"/>
    <w:rsid w:val="004F1FB7"/>
    <w:rsid w:val="004F3240"/>
    <w:rsid w:val="004F6216"/>
    <w:rsid w:val="004F6D8C"/>
    <w:rsid w:val="00500A56"/>
    <w:rsid w:val="00504A24"/>
    <w:rsid w:val="00512BC9"/>
    <w:rsid w:val="00513161"/>
    <w:rsid w:val="00513677"/>
    <w:rsid w:val="00541EF1"/>
    <w:rsid w:val="00543622"/>
    <w:rsid w:val="00551BA9"/>
    <w:rsid w:val="00554870"/>
    <w:rsid w:val="00556332"/>
    <w:rsid w:val="00566C08"/>
    <w:rsid w:val="005709E0"/>
    <w:rsid w:val="0057147F"/>
    <w:rsid w:val="005931B3"/>
    <w:rsid w:val="00593A28"/>
    <w:rsid w:val="005B1A5C"/>
    <w:rsid w:val="005B1BC1"/>
    <w:rsid w:val="005C1B29"/>
    <w:rsid w:val="005E1891"/>
    <w:rsid w:val="005E1EE5"/>
    <w:rsid w:val="005E4535"/>
    <w:rsid w:val="0061443C"/>
    <w:rsid w:val="00622E1F"/>
    <w:rsid w:val="00623B43"/>
    <w:rsid w:val="006247B2"/>
    <w:rsid w:val="0062526E"/>
    <w:rsid w:val="0064073C"/>
    <w:rsid w:val="006437FD"/>
    <w:rsid w:val="00655B55"/>
    <w:rsid w:val="00664FA6"/>
    <w:rsid w:val="006779E8"/>
    <w:rsid w:val="00684747"/>
    <w:rsid w:val="00684827"/>
    <w:rsid w:val="0068501F"/>
    <w:rsid w:val="006865FB"/>
    <w:rsid w:val="00693C78"/>
    <w:rsid w:val="006968AE"/>
    <w:rsid w:val="00697736"/>
    <w:rsid w:val="006A04C3"/>
    <w:rsid w:val="006A76F4"/>
    <w:rsid w:val="006B0638"/>
    <w:rsid w:val="006C1895"/>
    <w:rsid w:val="006D3B30"/>
    <w:rsid w:val="006D5C12"/>
    <w:rsid w:val="006E07A7"/>
    <w:rsid w:val="006E39E1"/>
    <w:rsid w:val="006E5E5D"/>
    <w:rsid w:val="006F007E"/>
    <w:rsid w:val="006F06E9"/>
    <w:rsid w:val="006F296A"/>
    <w:rsid w:val="007035B4"/>
    <w:rsid w:val="00712BD9"/>
    <w:rsid w:val="00712E12"/>
    <w:rsid w:val="00715BD1"/>
    <w:rsid w:val="00734179"/>
    <w:rsid w:val="00736D92"/>
    <w:rsid w:val="00747B0B"/>
    <w:rsid w:val="00750ED5"/>
    <w:rsid w:val="00757D5B"/>
    <w:rsid w:val="00761761"/>
    <w:rsid w:val="00766C94"/>
    <w:rsid w:val="007727E8"/>
    <w:rsid w:val="00785CF9"/>
    <w:rsid w:val="007866D5"/>
    <w:rsid w:val="007908A2"/>
    <w:rsid w:val="00791DFB"/>
    <w:rsid w:val="00793B4F"/>
    <w:rsid w:val="007A324B"/>
    <w:rsid w:val="007A5432"/>
    <w:rsid w:val="007B3804"/>
    <w:rsid w:val="007C09D1"/>
    <w:rsid w:val="007C4E94"/>
    <w:rsid w:val="007C7DB4"/>
    <w:rsid w:val="007E016C"/>
    <w:rsid w:val="007E66CD"/>
    <w:rsid w:val="007E6F23"/>
    <w:rsid w:val="007F7CC0"/>
    <w:rsid w:val="007F7CCE"/>
    <w:rsid w:val="00805B42"/>
    <w:rsid w:val="00812C75"/>
    <w:rsid w:val="008149EA"/>
    <w:rsid w:val="008169A5"/>
    <w:rsid w:val="00824D06"/>
    <w:rsid w:val="00837F24"/>
    <w:rsid w:val="00846163"/>
    <w:rsid w:val="00847C37"/>
    <w:rsid w:val="008509BD"/>
    <w:rsid w:val="00861992"/>
    <w:rsid w:val="008656F3"/>
    <w:rsid w:val="0086767A"/>
    <w:rsid w:val="00882A68"/>
    <w:rsid w:val="0089363B"/>
    <w:rsid w:val="00893CBA"/>
    <w:rsid w:val="00894A7B"/>
    <w:rsid w:val="00896D19"/>
    <w:rsid w:val="008973AA"/>
    <w:rsid w:val="008A4AD1"/>
    <w:rsid w:val="008A65F1"/>
    <w:rsid w:val="008B0046"/>
    <w:rsid w:val="008B3F5B"/>
    <w:rsid w:val="008B5B84"/>
    <w:rsid w:val="008B5E6F"/>
    <w:rsid w:val="008C585B"/>
    <w:rsid w:val="008D3D40"/>
    <w:rsid w:val="008E43D7"/>
    <w:rsid w:val="008F4A7E"/>
    <w:rsid w:val="008F5507"/>
    <w:rsid w:val="009077EA"/>
    <w:rsid w:val="00910957"/>
    <w:rsid w:val="00926EBE"/>
    <w:rsid w:val="009369B2"/>
    <w:rsid w:val="0095525A"/>
    <w:rsid w:val="00955FE2"/>
    <w:rsid w:val="009571F2"/>
    <w:rsid w:val="00961E83"/>
    <w:rsid w:val="009638F1"/>
    <w:rsid w:val="0096411E"/>
    <w:rsid w:val="00973258"/>
    <w:rsid w:val="00973A6D"/>
    <w:rsid w:val="00977066"/>
    <w:rsid w:val="00985B57"/>
    <w:rsid w:val="00987CE3"/>
    <w:rsid w:val="009949A5"/>
    <w:rsid w:val="0099594C"/>
    <w:rsid w:val="00997BF1"/>
    <w:rsid w:val="009A2059"/>
    <w:rsid w:val="009B03B9"/>
    <w:rsid w:val="009B15F2"/>
    <w:rsid w:val="009B3953"/>
    <w:rsid w:val="009B6D19"/>
    <w:rsid w:val="009C0A69"/>
    <w:rsid w:val="009C345E"/>
    <w:rsid w:val="009D296C"/>
    <w:rsid w:val="009D5242"/>
    <w:rsid w:val="009D6781"/>
    <w:rsid w:val="009D6E45"/>
    <w:rsid w:val="009F0776"/>
    <w:rsid w:val="009F4800"/>
    <w:rsid w:val="009F794D"/>
    <w:rsid w:val="00A301A8"/>
    <w:rsid w:val="00A32DE3"/>
    <w:rsid w:val="00A3684D"/>
    <w:rsid w:val="00A427AC"/>
    <w:rsid w:val="00A43663"/>
    <w:rsid w:val="00A5213B"/>
    <w:rsid w:val="00A55CD5"/>
    <w:rsid w:val="00A571E9"/>
    <w:rsid w:val="00A77FDD"/>
    <w:rsid w:val="00A803F7"/>
    <w:rsid w:val="00A82B93"/>
    <w:rsid w:val="00A96C3D"/>
    <w:rsid w:val="00AA5A1A"/>
    <w:rsid w:val="00AB54EB"/>
    <w:rsid w:val="00AB7601"/>
    <w:rsid w:val="00AD087E"/>
    <w:rsid w:val="00AD2176"/>
    <w:rsid w:val="00AD29E9"/>
    <w:rsid w:val="00AD6188"/>
    <w:rsid w:val="00AE1764"/>
    <w:rsid w:val="00AE1F7A"/>
    <w:rsid w:val="00AE6BB5"/>
    <w:rsid w:val="00AF69FD"/>
    <w:rsid w:val="00B0028F"/>
    <w:rsid w:val="00B00B01"/>
    <w:rsid w:val="00B01E46"/>
    <w:rsid w:val="00B03293"/>
    <w:rsid w:val="00B0616D"/>
    <w:rsid w:val="00B139DC"/>
    <w:rsid w:val="00B278FA"/>
    <w:rsid w:val="00B406BA"/>
    <w:rsid w:val="00B44576"/>
    <w:rsid w:val="00B5347B"/>
    <w:rsid w:val="00B6641C"/>
    <w:rsid w:val="00B77931"/>
    <w:rsid w:val="00B92D2E"/>
    <w:rsid w:val="00BB397C"/>
    <w:rsid w:val="00BB4A0F"/>
    <w:rsid w:val="00BC2F69"/>
    <w:rsid w:val="00BD762D"/>
    <w:rsid w:val="00BE2EF8"/>
    <w:rsid w:val="00BE61AC"/>
    <w:rsid w:val="00BF52DA"/>
    <w:rsid w:val="00C10AB7"/>
    <w:rsid w:val="00C21D72"/>
    <w:rsid w:val="00C25AF3"/>
    <w:rsid w:val="00C27207"/>
    <w:rsid w:val="00C27C5F"/>
    <w:rsid w:val="00C354AD"/>
    <w:rsid w:val="00C40099"/>
    <w:rsid w:val="00C4206A"/>
    <w:rsid w:val="00C4291A"/>
    <w:rsid w:val="00C5604A"/>
    <w:rsid w:val="00C74507"/>
    <w:rsid w:val="00C76553"/>
    <w:rsid w:val="00C96171"/>
    <w:rsid w:val="00C9758B"/>
    <w:rsid w:val="00C97FE7"/>
    <w:rsid w:val="00CA2111"/>
    <w:rsid w:val="00CA473C"/>
    <w:rsid w:val="00CA4F8A"/>
    <w:rsid w:val="00CB0157"/>
    <w:rsid w:val="00CB148C"/>
    <w:rsid w:val="00CC2027"/>
    <w:rsid w:val="00CC4D5F"/>
    <w:rsid w:val="00CD1D99"/>
    <w:rsid w:val="00CE16E4"/>
    <w:rsid w:val="00CF1DE9"/>
    <w:rsid w:val="00CF2798"/>
    <w:rsid w:val="00CF5068"/>
    <w:rsid w:val="00D03B0D"/>
    <w:rsid w:val="00D0416F"/>
    <w:rsid w:val="00D11C24"/>
    <w:rsid w:val="00D127BA"/>
    <w:rsid w:val="00D15D71"/>
    <w:rsid w:val="00D277A5"/>
    <w:rsid w:val="00D31180"/>
    <w:rsid w:val="00D37222"/>
    <w:rsid w:val="00D423D8"/>
    <w:rsid w:val="00D42B11"/>
    <w:rsid w:val="00D46F15"/>
    <w:rsid w:val="00D51DDB"/>
    <w:rsid w:val="00D51E5B"/>
    <w:rsid w:val="00D66809"/>
    <w:rsid w:val="00D671E5"/>
    <w:rsid w:val="00D72619"/>
    <w:rsid w:val="00D7315E"/>
    <w:rsid w:val="00D81A86"/>
    <w:rsid w:val="00D82188"/>
    <w:rsid w:val="00D93430"/>
    <w:rsid w:val="00D94B80"/>
    <w:rsid w:val="00DA07DF"/>
    <w:rsid w:val="00DA288B"/>
    <w:rsid w:val="00DA352A"/>
    <w:rsid w:val="00DA467F"/>
    <w:rsid w:val="00DA5A4A"/>
    <w:rsid w:val="00DB14C5"/>
    <w:rsid w:val="00DB3BBB"/>
    <w:rsid w:val="00DC0EF0"/>
    <w:rsid w:val="00DC5C2A"/>
    <w:rsid w:val="00DD0BB7"/>
    <w:rsid w:val="00DD5726"/>
    <w:rsid w:val="00DE0309"/>
    <w:rsid w:val="00DE3DCF"/>
    <w:rsid w:val="00DE5F0D"/>
    <w:rsid w:val="00DF3F5F"/>
    <w:rsid w:val="00DF6497"/>
    <w:rsid w:val="00E00DDE"/>
    <w:rsid w:val="00E120CF"/>
    <w:rsid w:val="00E26953"/>
    <w:rsid w:val="00E314E6"/>
    <w:rsid w:val="00E46D0E"/>
    <w:rsid w:val="00E5493A"/>
    <w:rsid w:val="00E62BA2"/>
    <w:rsid w:val="00E65ED9"/>
    <w:rsid w:val="00E679B5"/>
    <w:rsid w:val="00EA7DE7"/>
    <w:rsid w:val="00EB169E"/>
    <w:rsid w:val="00EC03F1"/>
    <w:rsid w:val="00ED02D3"/>
    <w:rsid w:val="00EE573D"/>
    <w:rsid w:val="00EF656B"/>
    <w:rsid w:val="00EF6F83"/>
    <w:rsid w:val="00F00134"/>
    <w:rsid w:val="00F01478"/>
    <w:rsid w:val="00F149EC"/>
    <w:rsid w:val="00F1592E"/>
    <w:rsid w:val="00F325AF"/>
    <w:rsid w:val="00F340D5"/>
    <w:rsid w:val="00F42155"/>
    <w:rsid w:val="00F47E15"/>
    <w:rsid w:val="00F67069"/>
    <w:rsid w:val="00F7328F"/>
    <w:rsid w:val="00F73BEA"/>
    <w:rsid w:val="00F81514"/>
    <w:rsid w:val="00F82D63"/>
    <w:rsid w:val="00F934BD"/>
    <w:rsid w:val="00F93F48"/>
    <w:rsid w:val="00F94152"/>
    <w:rsid w:val="00F95A6F"/>
    <w:rsid w:val="00FA0559"/>
    <w:rsid w:val="00FA5182"/>
    <w:rsid w:val="00FB0A08"/>
    <w:rsid w:val="00FB24FD"/>
    <w:rsid w:val="00FB749D"/>
    <w:rsid w:val="00FD273C"/>
    <w:rsid w:val="00FD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61E1B"/>
  <w14:defaultImageDpi w14:val="32767"/>
  <w15:docId w15:val="{341F7173-1D9F-42F5-B38E-6E773743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6D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437FD"/>
    <w:pPr>
      <w:ind w:left="720"/>
      <w:contextualSpacing/>
    </w:pPr>
  </w:style>
  <w:style w:type="character" w:styleId="Kommentarzeichen">
    <w:name w:val="annotation reference"/>
    <w:basedOn w:val="Absatz-Standardschriftart"/>
    <w:uiPriority w:val="99"/>
    <w:semiHidden/>
    <w:unhideWhenUsed/>
    <w:rsid w:val="003414AA"/>
    <w:rPr>
      <w:sz w:val="18"/>
      <w:szCs w:val="18"/>
    </w:rPr>
  </w:style>
  <w:style w:type="paragraph" w:styleId="Kommentartext">
    <w:name w:val="annotation text"/>
    <w:basedOn w:val="Standard"/>
    <w:link w:val="KommentartextZchn"/>
    <w:uiPriority w:val="99"/>
    <w:unhideWhenUsed/>
    <w:rsid w:val="003414AA"/>
  </w:style>
  <w:style w:type="character" w:customStyle="1" w:styleId="KommentartextZchn">
    <w:name w:val="Kommentartext Zchn"/>
    <w:basedOn w:val="Absatz-Standardschriftart"/>
    <w:link w:val="Kommentartext"/>
    <w:uiPriority w:val="99"/>
    <w:rsid w:val="003414AA"/>
  </w:style>
  <w:style w:type="paragraph" w:styleId="Kommentarthema">
    <w:name w:val="annotation subject"/>
    <w:basedOn w:val="Kommentartext"/>
    <w:next w:val="Kommentartext"/>
    <w:link w:val="KommentarthemaZchn"/>
    <w:uiPriority w:val="99"/>
    <w:semiHidden/>
    <w:unhideWhenUsed/>
    <w:rsid w:val="003414AA"/>
    <w:rPr>
      <w:b/>
      <w:bCs/>
      <w:sz w:val="20"/>
      <w:szCs w:val="20"/>
    </w:rPr>
  </w:style>
  <w:style w:type="character" w:customStyle="1" w:styleId="KommentarthemaZchn">
    <w:name w:val="Kommentarthema Zchn"/>
    <w:basedOn w:val="KommentartextZchn"/>
    <w:link w:val="Kommentarthema"/>
    <w:uiPriority w:val="99"/>
    <w:semiHidden/>
    <w:rsid w:val="003414AA"/>
    <w:rPr>
      <w:b/>
      <w:bCs/>
      <w:sz w:val="20"/>
      <w:szCs w:val="20"/>
    </w:rPr>
  </w:style>
  <w:style w:type="paragraph" w:styleId="Sprechblasentext">
    <w:name w:val="Balloon Text"/>
    <w:basedOn w:val="Standard"/>
    <w:link w:val="SprechblasentextZchn"/>
    <w:uiPriority w:val="99"/>
    <w:semiHidden/>
    <w:unhideWhenUsed/>
    <w:rsid w:val="003414AA"/>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414AA"/>
    <w:rPr>
      <w:rFonts w:ascii="Times New Roman" w:hAnsi="Times New Roman" w:cs="Times New Roman"/>
      <w:sz w:val="18"/>
      <w:szCs w:val="18"/>
    </w:rPr>
  </w:style>
  <w:style w:type="paragraph" w:styleId="Kopfzeile">
    <w:name w:val="header"/>
    <w:basedOn w:val="Standard"/>
    <w:link w:val="KopfzeileZchn"/>
    <w:uiPriority w:val="99"/>
    <w:unhideWhenUsed/>
    <w:rsid w:val="003C1ED1"/>
    <w:pPr>
      <w:tabs>
        <w:tab w:val="center" w:pos="4536"/>
        <w:tab w:val="right" w:pos="9072"/>
      </w:tabs>
    </w:pPr>
  </w:style>
  <w:style w:type="character" w:customStyle="1" w:styleId="KopfzeileZchn">
    <w:name w:val="Kopfzeile Zchn"/>
    <w:basedOn w:val="Absatz-Standardschriftart"/>
    <w:link w:val="Kopfzeile"/>
    <w:uiPriority w:val="99"/>
    <w:rsid w:val="003C1ED1"/>
  </w:style>
  <w:style w:type="paragraph" w:styleId="Fuzeile">
    <w:name w:val="footer"/>
    <w:basedOn w:val="Standard"/>
    <w:link w:val="FuzeileZchn"/>
    <w:uiPriority w:val="99"/>
    <w:unhideWhenUsed/>
    <w:rsid w:val="003C1ED1"/>
    <w:pPr>
      <w:tabs>
        <w:tab w:val="center" w:pos="4536"/>
        <w:tab w:val="right" w:pos="9072"/>
      </w:tabs>
    </w:pPr>
  </w:style>
  <w:style w:type="character" w:customStyle="1" w:styleId="FuzeileZchn">
    <w:name w:val="Fußzeile Zchn"/>
    <w:basedOn w:val="Absatz-Standardschriftart"/>
    <w:link w:val="Fuzeile"/>
    <w:uiPriority w:val="99"/>
    <w:rsid w:val="003C1ED1"/>
  </w:style>
  <w:style w:type="character" w:styleId="Seitenzahl">
    <w:name w:val="page number"/>
    <w:basedOn w:val="Absatz-Standardschriftart"/>
    <w:uiPriority w:val="99"/>
    <w:semiHidden/>
    <w:unhideWhenUsed/>
    <w:rsid w:val="009C3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1686">
      <w:bodyDiv w:val="1"/>
      <w:marLeft w:val="0"/>
      <w:marRight w:val="0"/>
      <w:marTop w:val="0"/>
      <w:marBottom w:val="0"/>
      <w:divBdr>
        <w:top w:val="none" w:sz="0" w:space="0" w:color="auto"/>
        <w:left w:val="none" w:sz="0" w:space="0" w:color="auto"/>
        <w:bottom w:val="none" w:sz="0" w:space="0" w:color="auto"/>
        <w:right w:val="none" w:sz="0" w:space="0" w:color="auto"/>
      </w:divBdr>
    </w:div>
    <w:div w:id="35854087">
      <w:bodyDiv w:val="1"/>
      <w:marLeft w:val="0"/>
      <w:marRight w:val="0"/>
      <w:marTop w:val="0"/>
      <w:marBottom w:val="0"/>
      <w:divBdr>
        <w:top w:val="none" w:sz="0" w:space="0" w:color="auto"/>
        <w:left w:val="none" w:sz="0" w:space="0" w:color="auto"/>
        <w:bottom w:val="none" w:sz="0" w:space="0" w:color="auto"/>
        <w:right w:val="none" w:sz="0" w:space="0" w:color="auto"/>
      </w:divBdr>
    </w:div>
    <w:div w:id="143401944">
      <w:bodyDiv w:val="1"/>
      <w:marLeft w:val="0"/>
      <w:marRight w:val="0"/>
      <w:marTop w:val="0"/>
      <w:marBottom w:val="0"/>
      <w:divBdr>
        <w:top w:val="none" w:sz="0" w:space="0" w:color="auto"/>
        <w:left w:val="none" w:sz="0" w:space="0" w:color="auto"/>
        <w:bottom w:val="none" w:sz="0" w:space="0" w:color="auto"/>
        <w:right w:val="none" w:sz="0" w:space="0" w:color="auto"/>
      </w:divBdr>
    </w:div>
    <w:div w:id="196088455">
      <w:bodyDiv w:val="1"/>
      <w:marLeft w:val="0"/>
      <w:marRight w:val="0"/>
      <w:marTop w:val="0"/>
      <w:marBottom w:val="0"/>
      <w:divBdr>
        <w:top w:val="none" w:sz="0" w:space="0" w:color="auto"/>
        <w:left w:val="none" w:sz="0" w:space="0" w:color="auto"/>
        <w:bottom w:val="none" w:sz="0" w:space="0" w:color="auto"/>
        <w:right w:val="none" w:sz="0" w:space="0" w:color="auto"/>
      </w:divBdr>
    </w:div>
    <w:div w:id="264656513">
      <w:bodyDiv w:val="1"/>
      <w:marLeft w:val="0"/>
      <w:marRight w:val="0"/>
      <w:marTop w:val="0"/>
      <w:marBottom w:val="0"/>
      <w:divBdr>
        <w:top w:val="none" w:sz="0" w:space="0" w:color="auto"/>
        <w:left w:val="none" w:sz="0" w:space="0" w:color="auto"/>
        <w:bottom w:val="none" w:sz="0" w:space="0" w:color="auto"/>
        <w:right w:val="none" w:sz="0" w:space="0" w:color="auto"/>
      </w:divBdr>
    </w:div>
    <w:div w:id="504318827">
      <w:bodyDiv w:val="1"/>
      <w:marLeft w:val="0"/>
      <w:marRight w:val="0"/>
      <w:marTop w:val="0"/>
      <w:marBottom w:val="0"/>
      <w:divBdr>
        <w:top w:val="none" w:sz="0" w:space="0" w:color="auto"/>
        <w:left w:val="none" w:sz="0" w:space="0" w:color="auto"/>
        <w:bottom w:val="none" w:sz="0" w:space="0" w:color="auto"/>
        <w:right w:val="none" w:sz="0" w:space="0" w:color="auto"/>
      </w:divBdr>
    </w:div>
    <w:div w:id="977688706">
      <w:bodyDiv w:val="1"/>
      <w:marLeft w:val="0"/>
      <w:marRight w:val="0"/>
      <w:marTop w:val="0"/>
      <w:marBottom w:val="0"/>
      <w:divBdr>
        <w:top w:val="none" w:sz="0" w:space="0" w:color="auto"/>
        <w:left w:val="none" w:sz="0" w:space="0" w:color="auto"/>
        <w:bottom w:val="none" w:sz="0" w:space="0" w:color="auto"/>
        <w:right w:val="none" w:sz="0" w:space="0" w:color="auto"/>
      </w:divBdr>
    </w:div>
    <w:div w:id="1188834833">
      <w:bodyDiv w:val="1"/>
      <w:marLeft w:val="0"/>
      <w:marRight w:val="0"/>
      <w:marTop w:val="0"/>
      <w:marBottom w:val="0"/>
      <w:divBdr>
        <w:top w:val="none" w:sz="0" w:space="0" w:color="auto"/>
        <w:left w:val="none" w:sz="0" w:space="0" w:color="auto"/>
        <w:bottom w:val="none" w:sz="0" w:space="0" w:color="auto"/>
        <w:right w:val="none" w:sz="0" w:space="0" w:color="auto"/>
      </w:divBdr>
    </w:div>
    <w:div w:id="1672221521">
      <w:bodyDiv w:val="1"/>
      <w:marLeft w:val="0"/>
      <w:marRight w:val="0"/>
      <w:marTop w:val="0"/>
      <w:marBottom w:val="0"/>
      <w:divBdr>
        <w:top w:val="none" w:sz="0" w:space="0" w:color="auto"/>
        <w:left w:val="none" w:sz="0" w:space="0" w:color="auto"/>
        <w:bottom w:val="none" w:sz="0" w:space="0" w:color="auto"/>
        <w:right w:val="none" w:sz="0" w:space="0" w:color="auto"/>
      </w:divBdr>
    </w:div>
    <w:div w:id="2093355017">
      <w:bodyDiv w:val="1"/>
      <w:marLeft w:val="0"/>
      <w:marRight w:val="0"/>
      <w:marTop w:val="0"/>
      <w:marBottom w:val="0"/>
      <w:divBdr>
        <w:top w:val="none" w:sz="0" w:space="0" w:color="auto"/>
        <w:left w:val="none" w:sz="0" w:space="0" w:color="auto"/>
        <w:bottom w:val="none" w:sz="0" w:space="0" w:color="auto"/>
        <w:right w:val="none" w:sz="0" w:space="0" w:color="auto"/>
      </w:divBdr>
    </w:div>
    <w:div w:id="2125298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6574</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Dyar</dc:creator>
  <cp:lastModifiedBy>Nicole von Maltzahn</cp:lastModifiedBy>
  <cp:revision>2</cp:revision>
  <cp:lastPrinted>2018-06-29T12:09:00Z</cp:lastPrinted>
  <dcterms:created xsi:type="dcterms:W3CDTF">2019-05-10T07:05:00Z</dcterms:created>
  <dcterms:modified xsi:type="dcterms:W3CDTF">2019-05-10T07:05:00Z</dcterms:modified>
</cp:coreProperties>
</file>