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E988" w14:textId="77777777" w:rsidR="007C4E94" w:rsidRDefault="007C4E94" w:rsidP="00766C94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14:paraId="6B262A67" w14:textId="19ED9D4F" w:rsidR="00766C94" w:rsidRPr="00750284" w:rsidRDefault="00766C94" w:rsidP="00766C94">
      <w:pPr>
        <w:outlineLvl w:val="0"/>
        <w:rPr>
          <w:b/>
          <w:sz w:val="28"/>
          <w:szCs w:val="28"/>
          <w:lang w:val="de-DE"/>
        </w:rPr>
      </w:pPr>
      <w:r w:rsidRPr="00750284">
        <w:rPr>
          <w:b/>
          <w:sz w:val="28"/>
          <w:szCs w:val="28"/>
          <w:lang w:val="de-DE"/>
        </w:rPr>
        <w:t xml:space="preserve">ESCMID </w:t>
      </w:r>
      <w:r w:rsidR="00750284" w:rsidRPr="00750284">
        <w:rPr>
          <w:b/>
          <w:sz w:val="28"/>
          <w:szCs w:val="28"/>
          <w:lang w:val="de-DE"/>
        </w:rPr>
        <w:t xml:space="preserve">– Vermeidung von Antibiotikaresistenzen </w:t>
      </w:r>
      <w:r w:rsidR="001113F8">
        <w:rPr>
          <w:b/>
          <w:sz w:val="28"/>
          <w:szCs w:val="28"/>
          <w:lang w:val="de-DE"/>
        </w:rPr>
        <w:t xml:space="preserve">(Antibiotic Stewardship) </w:t>
      </w:r>
      <w:r w:rsidR="00750284" w:rsidRPr="00750284">
        <w:rPr>
          <w:b/>
          <w:sz w:val="28"/>
          <w:szCs w:val="28"/>
          <w:lang w:val="de-DE"/>
        </w:rPr>
        <w:t xml:space="preserve">und </w:t>
      </w:r>
      <w:r w:rsidR="00750284">
        <w:rPr>
          <w:b/>
          <w:sz w:val="28"/>
          <w:szCs w:val="28"/>
          <w:lang w:val="de-DE"/>
        </w:rPr>
        <w:t>Antibiotikaverschreibungen</w:t>
      </w:r>
    </w:p>
    <w:p w14:paraId="3C7E98A3" w14:textId="49AAC9F1" w:rsidR="00A571E9" w:rsidRPr="00750284" w:rsidRDefault="00A571E9" w:rsidP="0006686A">
      <w:pPr>
        <w:rPr>
          <w:sz w:val="28"/>
          <w:szCs w:val="28"/>
          <w:lang w:val="de-DE"/>
        </w:rPr>
      </w:pPr>
    </w:p>
    <w:p w14:paraId="741D518E" w14:textId="6D2F2D16" w:rsidR="00010ABC" w:rsidRPr="00750284" w:rsidRDefault="00750284" w:rsidP="0037259E">
      <w:pPr>
        <w:rPr>
          <w:b/>
          <w:lang w:val="de-DE"/>
        </w:rPr>
      </w:pPr>
      <w:r w:rsidRPr="00750284">
        <w:rPr>
          <w:b/>
          <w:lang w:val="de-DE"/>
        </w:rPr>
        <w:t>Einführung</w:t>
      </w:r>
    </w:p>
    <w:p w14:paraId="45E1899F" w14:textId="59F2F84D" w:rsidR="00750284" w:rsidRDefault="00750284" w:rsidP="00B92D2E">
      <w:pPr>
        <w:rPr>
          <w:lang w:val="de-DE"/>
        </w:rPr>
      </w:pPr>
      <w:r w:rsidRPr="00750284">
        <w:rPr>
          <w:lang w:val="de-DE"/>
        </w:rPr>
        <w:t xml:space="preserve">Dieses Dokument enthält eine </w:t>
      </w:r>
      <w:r w:rsidR="00F40228">
        <w:rPr>
          <w:lang w:val="de-DE"/>
        </w:rPr>
        <w:t>Reihe</w:t>
      </w:r>
      <w:r w:rsidRPr="00750284">
        <w:rPr>
          <w:lang w:val="de-DE"/>
        </w:rPr>
        <w:t xml:space="preserve"> </w:t>
      </w:r>
      <w:r w:rsidR="001113F8">
        <w:rPr>
          <w:lang w:val="de-DE"/>
        </w:rPr>
        <w:t>allgemeiner</w:t>
      </w:r>
      <w:r w:rsidRPr="00750284">
        <w:rPr>
          <w:lang w:val="de-DE"/>
        </w:rPr>
        <w:t xml:space="preserve"> Kompetenzen </w:t>
      </w:r>
      <w:r w:rsidR="00D76206">
        <w:rPr>
          <w:lang w:val="de-DE"/>
        </w:rPr>
        <w:t>bei der Verordnung und beim verantwortlichen Einsatz von Antibiotika (</w:t>
      </w:r>
      <w:r w:rsidR="00D76206" w:rsidRPr="00354EB4">
        <w:rPr>
          <w:i/>
          <w:lang w:val="de-DE"/>
        </w:rPr>
        <w:t>antibiotic stewardship,</w:t>
      </w:r>
      <w:r w:rsidR="00D76206">
        <w:rPr>
          <w:lang w:val="de-DE"/>
        </w:rPr>
        <w:t xml:space="preserve"> ABS)</w:t>
      </w:r>
      <w:r w:rsidR="00F40228">
        <w:rPr>
          <w:lang w:val="de-DE"/>
        </w:rPr>
        <w:t xml:space="preserve"> </w:t>
      </w:r>
      <w:r>
        <w:rPr>
          <w:lang w:val="de-DE"/>
        </w:rPr>
        <w:t>als Resultat eines strukturierten Konsensverfahrens, welches</w:t>
      </w:r>
      <w:r w:rsidR="001F23FD">
        <w:rPr>
          <w:lang w:val="de-DE"/>
        </w:rPr>
        <w:t xml:space="preserve"> unter </w:t>
      </w:r>
      <w:r w:rsidR="00F40228">
        <w:rPr>
          <w:lang w:val="de-DE"/>
        </w:rPr>
        <w:t>Mitarbeit eines</w:t>
      </w:r>
      <w:r>
        <w:rPr>
          <w:lang w:val="de-DE"/>
        </w:rPr>
        <w:t xml:space="preserve"> m</w:t>
      </w:r>
      <w:r w:rsidR="00F40228">
        <w:rPr>
          <w:lang w:val="de-DE"/>
        </w:rPr>
        <w:t xml:space="preserve">ultidisziplinären Expertengremiums </w:t>
      </w:r>
      <w:r>
        <w:rPr>
          <w:lang w:val="de-DE"/>
        </w:rPr>
        <w:t xml:space="preserve">aus 24 europäischen Ländern durchgeführt wurde. </w:t>
      </w:r>
      <w:r w:rsidR="001113F8" w:rsidRPr="001113F8">
        <w:rPr>
          <w:lang w:val="de-DE"/>
        </w:rPr>
        <w:t xml:space="preserve">Diese Kompetenzen betreffen alle unabhängigen Verordner in Europa. Sie sind allgemein gehalten und können daher an die Bedürfnisse aller verschreibenden Berufsgruppen angepasst </w:t>
      </w:r>
      <w:r w:rsidR="001113F8">
        <w:rPr>
          <w:lang w:val="de-DE"/>
        </w:rPr>
        <w:t>we</w:t>
      </w:r>
      <w:r w:rsidR="001113F8" w:rsidRPr="001113F8">
        <w:rPr>
          <w:lang w:val="de-DE"/>
        </w:rPr>
        <w:t>rden.</w:t>
      </w:r>
    </w:p>
    <w:p w14:paraId="34BB51FC" w14:textId="77777777" w:rsidR="00F40228" w:rsidRPr="00F40228" w:rsidRDefault="00F40228" w:rsidP="00F40228">
      <w:pPr>
        <w:rPr>
          <w:lang w:val="de-DE"/>
        </w:rPr>
      </w:pPr>
    </w:p>
    <w:p w14:paraId="2307BE68" w14:textId="20C5F0D6" w:rsidR="001113F8" w:rsidRPr="001113F8" w:rsidRDefault="0020069C" w:rsidP="00B92D2E">
      <w:pPr>
        <w:rPr>
          <w:lang w:val="de-DE"/>
        </w:rPr>
      </w:pPr>
      <w:r>
        <w:rPr>
          <w:lang w:val="de-DE"/>
        </w:rPr>
        <w:t xml:space="preserve">Darüber hinaus gibt es noch weitere </w:t>
      </w:r>
      <w:r w:rsidR="001113F8">
        <w:rPr>
          <w:lang w:val="de-DE"/>
        </w:rPr>
        <w:t>Kompetenzen</w:t>
      </w:r>
      <w:r>
        <w:rPr>
          <w:lang w:val="de-DE"/>
        </w:rPr>
        <w:t>,</w:t>
      </w:r>
      <w:r w:rsidR="001113F8">
        <w:rPr>
          <w:lang w:val="de-DE"/>
        </w:rPr>
        <w:t xml:space="preserve"> die </w:t>
      </w:r>
      <w:r>
        <w:rPr>
          <w:lang w:val="de-DE"/>
        </w:rPr>
        <w:t xml:space="preserve">für </w:t>
      </w:r>
      <w:r w:rsidR="001113F8">
        <w:rPr>
          <w:lang w:val="de-DE"/>
        </w:rPr>
        <w:t>Verordner von Antibiotika und Antibiotic Stewards</w:t>
      </w:r>
      <w:r>
        <w:rPr>
          <w:lang w:val="de-DE"/>
        </w:rPr>
        <w:t xml:space="preserve"> relevant sind</w:t>
      </w:r>
      <w:r w:rsidR="003F5185">
        <w:rPr>
          <w:lang w:val="de-DE"/>
        </w:rPr>
        <w:t>,</w:t>
      </w:r>
      <w:r w:rsidR="001113F8">
        <w:rPr>
          <w:lang w:val="de-DE"/>
        </w:rPr>
        <w:t xml:space="preserve"> wie </w:t>
      </w:r>
      <w:r w:rsidR="00703756">
        <w:rPr>
          <w:lang w:val="de-DE"/>
        </w:rPr>
        <w:t>Kompetenz</w:t>
      </w:r>
      <w:r w:rsidR="003F5185">
        <w:rPr>
          <w:lang w:val="de-DE"/>
        </w:rPr>
        <w:t>en</w:t>
      </w:r>
      <w:r w:rsidR="001113F8">
        <w:rPr>
          <w:lang w:val="de-DE"/>
        </w:rPr>
        <w:t xml:space="preserve"> </w:t>
      </w:r>
      <w:r>
        <w:rPr>
          <w:lang w:val="de-DE"/>
        </w:rPr>
        <w:t>in der</w:t>
      </w:r>
      <w:r w:rsidR="003F5185">
        <w:rPr>
          <w:lang w:val="de-DE"/>
        </w:rPr>
        <w:t xml:space="preserve"> </w:t>
      </w:r>
      <w:r w:rsidR="001113F8">
        <w:rPr>
          <w:lang w:val="de-DE"/>
        </w:rPr>
        <w:t xml:space="preserve">Infektionsprävention und -bekämpfung, </w:t>
      </w:r>
      <w:r>
        <w:rPr>
          <w:lang w:val="de-DE"/>
        </w:rPr>
        <w:t xml:space="preserve">in Fragen der </w:t>
      </w:r>
      <w:r w:rsidR="001113F8">
        <w:rPr>
          <w:lang w:val="de-DE"/>
        </w:rPr>
        <w:t>öffentliche</w:t>
      </w:r>
      <w:r>
        <w:rPr>
          <w:lang w:val="de-DE"/>
        </w:rPr>
        <w:t>n</w:t>
      </w:r>
      <w:r w:rsidR="001113F8">
        <w:rPr>
          <w:lang w:val="de-DE"/>
        </w:rPr>
        <w:t xml:space="preserve"> Gesundheit </w:t>
      </w:r>
      <w:r>
        <w:rPr>
          <w:lang w:val="de-DE"/>
        </w:rPr>
        <w:t>oder der Anwendung von</w:t>
      </w:r>
      <w:r w:rsidR="001113F8">
        <w:rPr>
          <w:lang w:val="de-DE"/>
        </w:rPr>
        <w:t xml:space="preserve"> Impfungen. </w:t>
      </w:r>
      <w:r w:rsidR="00703756">
        <w:rPr>
          <w:lang w:val="de-DE"/>
        </w:rPr>
        <w:t>Kompetenzen</w:t>
      </w:r>
      <w:r w:rsidR="00F43216">
        <w:rPr>
          <w:lang w:val="de-DE"/>
        </w:rPr>
        <w:t xml:space="preserve"> wurden </w:t>
      </w:r>
      <w:r w:rsidR="00F40228">
        <w:rPr>
          <w:lang w:val="de-DE"/>
        </w:rPr>
        <w:t xml:space="preserve">für diese Empfehlung </w:t>
      </w:r>
      <w:r w:rsidR="00E12264">
        <w:rPr>
          <w:lang w:val="de-DE"/>
        </w:rPr>
        <w:t xml:space="preserve">nur dann </w:t>
      </w:r>
      <w:r w:rsidR="00F43216">
        <w:rPr>
          <w:lang w:val="de-DE"/>
        </w:rPr>
        <w:t>in Betracht gezogen</w:t>
      </w:r>
      <w:r w:rsidR="001113F8">
        <w:rPr>
          <w:lang w:val="de-DE"/>
        </w:rPr>
        <w:t>, wenn der Schwerpunkt</w:t>
      </w:r>
      <w:r w:rsidR="00703756">
        <w:rPr>
          <w:lang w:val="de-DE"/>
        </w:rPr>
        <w:t xml:space="preserve"> auf </w:t>
      </w:r>
      <w:r w:rsidR="00E12264">
        <w:rPr>
          <w:lang w:val="de-DE"/>
        </w:rPr>
        <w:t xml:space="preserve">den Themen </w:t>
      </w:r>
      <w:r w:rsidR="00703756">
        <w:rPr>
          <w:lang w:val="de-DE"/>
        </w:rPr>
        <w:t xml:space="preserve">Antibiotikaverschreibung und Antibiotic Stewardship lag. </w:t>
      </w:r>
      <w:r w:rsidR="00F40228">
        <w:rPr>
          <w:lang w:val="de-DE"/>
        </w:rPr>
        <w:t>Es ist unabdingbar</w:t>
      </w:r>
      <w:r w:rsidR="00703756">
        <w:rPr>
          <w:lang w:val="de-DE"/>
        </w:rPr>
        <w:t xml:space="preserve">, dass </w:t>
      </w:r>
      <w:r w:rsidR="00F40228">
        <w:rPr>
          <w:lang w:val="de-DE"/>
        </w:rPr>
        <w:t xml:space="preserve">solche </w:t>
      </w:r>
      <w:r w:rsidR="00703756">
        <w:rPr>
          <w:lang w:val="de-DE"/>
        </w:rPr>
        <w:t>weitere</w:t>
      </w:r>
      <w:r w:rsidR="00F40228">
        <w:rPr>
          <w:lang w:val="de-DE"/>
        </w:rPr>
        <w:t>n</w:t>
      </w:r>
      <w:r w:rsidR="00703756">
        <w:rPr>
          <w:lang w:val="de-DE"/>
        </w:rPr>
        <w:t xml:space="preserve"> Kompetenzen auch bei </w:t>
      </w:r>
      <w:r w:rsidR="00F40228">
        <w:rPr>
          <w:lang w:val="de-DE"/>
        </w:rPr>
        <w:t>allen</w:t>
      </w:r>
      <w:r w:rsidR="00703756">
        <w:rPr>
          <w:lang w:val="de-DE"/>
        </w:rPr>
        <w:t xml:space="preserve"> Strategie</w:t>
      </w:r>
      <w:r w:rsidR="00F40228">
        <w:rPr>
          <w:lang w:val="de-DE"/>
        </w:rPr>
        <w:t xml:space="preserve">n </w:t>
      </w:r>
      <w:r w:rsidR="00703756">
        <w:rPr>
          <w:lang w:val="de-DE"/>
        </w:rPr>
        <w:t xml:space="preserve"> </w:t>
      </w:r>
      <w:r w:rsidR="00F40228">
        <w:rPr>
          <w:lang w:val="de-DE"/>
        </w:rPr>
        <w:t xml:space="preserve">zur Reduktion von </w:t>
      </w:r>
      <w:r w:rsidR="00703756">
        <w:rPr>
          <w:lang w:val="de-DE"/>
        </w:rPr>
        <w:t xml:space="preserve">Entstehung und </w:t>
      </w:r>
      <w:r w:rsidR="00F40228">
        <w:rPr>
          <w:lang w:val="de-DE"/>
        </w:rPr>
        <w:t>Aus</w:t>
      </w:r>
      <w:r w:rsidR="00703756">
        <w:rPr>
          <w:lang w:val="de-DE"/>
        </w:rPr>
        <w:t xml:space="preserve">breitung von Antibiotikaresistenzen </w:t>
      </w:r>
      <w:r w:rsidR="00F40228">
        <w:rPr>
          <w:lang w:val="de-DE"/>
        </w:rPr>
        <w:t>berücksichtigt werden, um so die Einsatzmöglichkeiten unserer antimikrobiellen Substanzen zu erhalten</w:t>
      </w:r>
      <w:r w:rsidR="00703756">
        <w:rPr>
          <w:lang w:val="de-DE"/>
        </w:rPr>
        <w:t>.</w:t>
      </w:r>
    </w:p>
    <w:p w14:paraId="2975CCCA" w14:textId="77777777" w:rsidR="00703756" w:rsidRDefault="00703756" w:rsidP="009B03B9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</w:p>
    <w:p w14:paraId="7C5A19E5" w14:textId="6C403B4F" w:rsidR="00B92D2E" w:rsidRPr="00703756" w:rsidRDefault="00912C70" w:rsidP="00B92D2E">
      <w:pPr>
        <w:autoSpaceDE w:val="0"/>
        <w:autoSpaceDN w:val="0"/>
        <w:adjustRightInd w:val="0"/>
        <w:rPr>
          <w:rFonts w:ascii="p]lÀ˛" w:hAnsi="p]lÀ˛" w:cs="p]lÀ˛"/>
          <w:i/>
          <w:lang w:val="de-DE"/>
        </w:rPr>
      </w:pPr>
      <w:r>
        <w:rPr>
          <w:rFonts w:ascii="p]lÀ˛" w:hAnsi="p]lÀ˛" w:cs="p]lÀ˛"/>
          <w:i/>
          <w:lang w:val="de-DE"/>
        </w:rPr>
        <w:t>Rahmend</w:t>
      </w:r>
      <w:r w:rsidR="00703756" w:rsidRPr="00703756">
        <w:rPr>
          <w:rFonts w:ascii="p]lÀ˛" w:hAnsi="p]lÀ˛" w:cs="p]lÀ˛"/>
          <w:i/>
          <w:lang w:val="de-DE"/>
        </w:rPr>
        <w:t>efinitionen für die Entwicklung von Kompetenzen</w:t>
      </w:r>
      <w:r w:rsidR="00B92D2E" w:rsidRPr="00703756">
        <w:rPr>
          <w:rFonts w:ascii="p]lÀ˛" w:hAnsi="p]lÀ˛" w:cs="p]lÀ˛"/>
          <w:i/>
          <w:lang w:val="de-DE"/>
        </w:rPr>
        <w:t>:</w:t>
      </w:r>
    </w:p>
    <w:p w14:paraId="1D80321E" w14:textId="56889EE8" w:rsidR="00703756" w:rsidRDefault="00703756" w:rsidP="00B92D2E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p]lÀ˛" w:hAnsi="p]lÀ˛" w:cs="p]lÀ˛"/>
          <w:lang w:val="de-DE"/>
        </w:rPr>
      </w:pPr>
      <w:r>
        <w:rPr>
          <w:rFonts w:ascii="p]lÀ˛" w:hAnsi="p]lÀ˛" w:cs="p]lÀ˛"/>
          <w:i/>
          <w:lang w:val="de-DE"/>
        </w:rPr>
        <w:t>Kompetenzen</w:t>
      </w:r>
      <w:r w:rsidR="00B92D2E" w:rsidRPr="00703756">
        <w:rPr>
          <w:rFonts w:ascii="p]lÀ˛" w:hAnsi="p]lÀ˛" w:cs="p]lÀ˛"/>
          <w:lang w:val="de-DE"/>
        </w:rPr>
        <w:t xml:space="preserve"> </w:t>
      </w:r>
      <w:r w:rsidRPr="00703756">
        <w:rPr>
          <w:rFonts w:ascii="p]lÀ˛" w:hAnsi="p]lÀ˛" w:cs="p]lÀ˛"/>
          <w:lang w:val="de-DE"/>
        </w:rPr>
        <w:t>sind der Minimalstandard, de</w:t>
      </w:r>
      <w:r>
        <w:rPr>
          <w:rFonts w:ascii="p]lÀ˛" w:hAnsi="p]lÀ˛" w:cs="p]lÀ˛"/>
          <w:lang w:val="de-DE"/>
        </w:rPr>
        <w:t>n</w:t>
      </w:r>
      <w:r w:rsidRPr="00703756">
        <w:rPr>
          <w:rFonts w:ascii="p]lÀ˛" w:hAnsi="p]lÀ˛" w:cs="p]lÀ˛"/>
          <w:lang w:val="de-DE"/>
        </w:rPr>
        <w:t xml:space="preserve"> alle unabhängigen Verordner von </w:t>
      </w:r>
      <w:r w:rsidR="00912C70">
        <w:rPr>
          <w:rFonts w:ascii="p]lÀ˛" w:hAnsi="p]lÀ˛" w:cs="p]lÀ˛"/>
          <w:lang w:val="de-DE"/>
        </w:rPr>
        <w:t>antimikrobiellen Substanzen</w:t>
      </w:r>
      <w:r w:rsidRPr="00703756">
        <w:rPr>
          <w:rFonts w:ascii="p]lÀ˛" w:hAnsi="p]lÀ˛" w:cs="p]lÀ˛"/>
          <w:lang w:val="de-DE"/>
        </w:rPr>
        <w:t xml:space="preserve"> </w:t>
      </w:r>
      <w:r w:rsidR="00912C70">
        <w:rPr>
          <w:rFonts w:ascii="p]lÀ˛" w:hAnsi="p]lÀ˛" w:cs="p]lÀ˛"/>
          <w:lang w:val="de-DE"/>
        </w:rPr>
        <w:t>erreichen</w:t>
      </w:r>
      <w:r>
        <w:rPr>
          <w:rFonts w:ascii="p]lÀ˛" w:hAnsi="p]lÀ˛" w:cs="p]lÀ˛"/>
          <w:lang w:val="de-DE"/>
        </w:rPr>
        <w:t xml:space="preserve"> sollten, gemäß den Grundprinzipien eines verantwortungsbewussten Antibiotikaeinsatzes.</w:t>
      </w:r>
    </w:p>
    <w:p w14:paraId="51B9F770" w14:textId="11F5E00E" w:rsidR="00703756" w:rsidRPr="00703756" w:rsidRDefault="00912C70" w:rsidP="00B92D2E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p]lÀ˛" w:hAnsi="p]lÀ˛" w:cs="p]lÀ˛"/>
          <w:lang w:val="de-DE"/>
        </w:rPr>
      </w:pPr>
      <w:r>
        <w:rPr>
          <w:rFonts w:ascii="p]lÀ˛" w:hAnsi="p]lÀ˛" w:cs="p]lÀ˛"/>
          <w:i/>
          <w:lang w:val="de-DE"/>
        </w:rPr>
        <w:t>Ein u</w:t>
      </w:r>
      <w:r w:rsidR="00703756">
        <w:rPr>
          <w:rFonts w:ascii="p]lÀ˛" w:hAnsi="p]lÀ˛" w:cs="p]lÀ˛"/>
          <w:i/>
          <w:lang w:val="de-DE"/>
        </w:rPr>
        <w:t>nabhängig</w:t>
      </w:r>
      <w:r>
        <w:rPr>
          <w:rFonts w:ascii="p]lÀ˛" w:hAnsi="p]lÀ˛" w:cs="p]lÀ˛"/>
          <w:i/>
          <w:lang w:val="de-DE"/>
        </w:rPr>
        <w:t>er Verordner</w:t>
      </w:r>
      <w:r w:rsidR="00703756">
        <w:rPr>
          <w:rFonts w:ascii="p]lÀ˛" w:hAnsi="p]lÀ˛" w:cs="p]lÀ˛"/>
          <w:lang w:val="de-DE"/>
        </w:rPr>
        <w:t xml:space="preserve"> ist </w:t>
      </w:r>
      <w:r w:rsidR="00E12264">
        <w:rPr>
          <w:rFonts w:ascii="p]lÀ˛" w:hAnsi="p]lÀ˛" w:cs="p]lÀ˛"/>
          <w:lang w:val="de-DE"/>
        </w:rPr>
        <w:t xml:space="preserve">im </w:t>
      </w:r>
      <w:r w:rsidR="00354EB4">
        <w:rPr>
          <w:rFonts w:ascii="p]lÀ˛" w:hAnsi="p]lÀ˛" w:cs="p]lÀ˛"/>
          <w:lang w:val="de-DE"/>
        </w:rPr>
        <w:t>A</w:t>
      </w:r>
      <w:r w:rsidR="00E12264">
        <w:rPr>
          <w:rFonts w:ascii="p]lÀ˛" w:hAnsi="p]lÀ˛" w:cs="p]lÀ˛"/>
          <w:lang w:val="de-DE"/>
        </w:rPr>
        <w:t xml:space="preserve">llgemeinen </w:t>
      </w:r>
      <w:r>
        <w:rPr>
          <w:rFonts w:ascii="p]lÀ˛" w:hAnsi="p]lÀ˛" w:cs="p]lÀ˛"/>
          <w:lang w:val="de-DE"/>
        </w:rPr>
        <w:t>ein Verordner</w:t>
      </w:r>
      <w:r w:rsidR="00703756">
        <w:rPr>
          <w:rFonts w:ascii="p]lÀ˛" w:hAnsi="p]lÀ˛" w:cs="p]lÀ˛"/>
          <w:lang w:val="de-DE"/>
        </w:rPr>
        <w:t xml:space="preserve">, </w:t>
      </w:r>
      <w:r>
        <w:rPr>
          <w:rFonts w:ascii="p]lÀ˛" w:hAnsi="p]lÀ˛" w:cs="p]lÀ˛"/>
          <w:lang w:val="de-DE"/>
        </w:rPr>
        <w:t>der</w:t>
      </w:r>
      <w:r w:rsidR="00703756">
        <w:rPr>
          <w:rFonts w:ascii="p]lÀ˛" w:hAnsi="p]lÀ˛" w:cs="p]lÀ˛"/>
          <w:lang w:val="de-DE"/>
        </w:rPr>
        <w:t xml:space="preserve"> </w:t>
      </w:r>
      <w:r w:rsidR="00A86377">
        <w:rPr>
          <w:rFonts w:ascii="p]lÀ˛" w:hAnsi="p]lÀ˛" w:cs="p]lÀ˛"/>
          <w:lang w:val="de-DE"/>
        </w:rPr>
        <w:t xml:space="preserve">Rezepte </w:t>
      </w:r>
      <w:r w:rsidR="00703756">
        <w:rPr>
          <w:rFonts w:ascii="p]lÀ˛" w:hAnsi="p]lÀ˛" w:cs="p]lÀ˛"/>
          <w:lang w:val="de-DE"/>
        </w:rPr>
        <w:t xml:space="preserve">ohne </w:t>
      </w:r>
      <w:r w:rsidR="00A86377">
        <w:rPr>
          <w:rFonts w:ascii="p]lÀ˛" w:hAnsi="p]lÀ˛" w:cs="p]lÀ˛"/>
          <w:lang w:val="de-DE"/>
        </w:rPr>
        <w:t>Kontroll</w:t>
      </w:r>
      <w:r>
        <w:rPr>
          <w:rFonts w:ascii="p]lÀ˛" w:hAnsi="p]lÀ˛" w:cs="p]lÀ˛"/>
          <w:lang w:val="de-DE"/>
        </w:rPr>
        <w:t>e und uneingeschränkt ausstellt</w:t>
      </w:r>
      <w:r w:rsidR="00A86377">
        <w:rPr>
          <w:rFonts w:ascii="p]lÀ˛" w:hAnsi="p]lÀ˛" w:cs="p]lÀ˛"/>
          <w:lang w:val="de-DE"/>
        </w:rPr>
        <w:t>, auch wenn die Gesetzgebungen hinsichtlich bestimmter Verschreibungen von Land zu Land unterschiedlich sind.</w:t>
      </w:r>
    </w:p>
    <w:p w14:paraId="14DF21EF" w14:textId="77777777" w:rsidR="00912C70" w:rsidRPr="00912C70" w:rsidRDefault="00912C70" w:rsidP="00912C70">
      <w:pPr>
        <w:autoSpaceDE w:val="0"/>
        <w:autoSpaceDN w:val="0"/>
        <w:adjustRightInd w:val="0"/>
        <w:rPr>
          <w:rFonts w:ascii="p]lÀ˛" w:hAnsi="p]lÀ˛" w:cs="p]lÀ˛"/>
          <w:i/>
          <w:lang w:val="de-DE"/>
        </w:rPr>
      </w:pPr>
    </w:p>
    <w:p w14:paraId="4E3C90A5" w14:textId="73151A40" w:rsidR="00A86377" w:rsidRPr="00A86377" w:rsidRDefault="00A86377" w:rsidP="00DC0EF0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Verordner gelten da</w:t>
      </w:r>
      <w:r w:rsidR="00912C70">
        <w:rPr>
          <w:rFonts w:ascii="Calibri" w:hAnsi="Calibri" w:cs="Calibri"/>
          <w:lang w:val="de-DE"/>
        </w:rPr>
        <w:t xml:space="preserve">nn als kompetent, wenn sie </w:t>
      </w:r>
      <w:r w:rsidR="00912C70" w:rsidRPr="00912C70">
        <w:rPr>
          <w:rFonts w:ascii="Calibri" w:hAnsi="Calibri" w:cs="Calibri"/>
          <w:i/>
          <w:lang w:val="de-DE"/>
        </w:rPr>
        <w:t xml:space="preserve">ihr Verständnis </w:t>
      </w:r>
      <w:r w:rsidRPr="00912C70">
        <w:rPr>
          <w:rFonts w:ascii="Calibri" w:hAnsi="Calibri" w:cs="Calibri"/>
          <w:i/>
          <w:lang w:val="de-DE"/>
        </w:rPr>
        <w:t>unter Beweis stellen</w:t>
      </w:r>
      <w:r>
        <w:rPr>
          <w:rFonts w:ascii="Calibri" w:hAnsi="Calibri" w:cs="Calibri"/>
          <w:lang w:val="de-DE"/>
        </w:rPr>
        <w:t>, beispielsweise indem sie bei der Verschreibung eines Antibiotik</w:t>
      </w:r>
      <w:r w:rsidR="00912C70">
        <w:rPr>
          <w:rFonts w:ascii="Calibri" w:hAnsi="Calibri" w:cs="Calibri"/>
          <w:lang w:val="de-DE"/>
        </w:rPr>
        <w:t>ums spezifische Kenntnisse</w:t>
      </w:r>
      <w:r>
        <w:rPr>
          <w:rFonts w:ascii="Calibri" w:hAnsi="Calibri" w:cs="Calibri"/>
          <w:lang w:val="de-DE"/>
        </w:rPr>
        <w:t xml:space="preserve"> oder Fähigkeiten einfließen lassen.</w:t>
      </w:r>
    </w:p>
    <w:p w14:paraId="3C16D7B2" w14:textId="535DAD31" w:rsidR="00F01478" w:rsidRPr="001F23FD" w:rsidRDefault="00F01478" w:rsidP="0037259E">
      <w:pPr>
        <w:rPr>
          <w:lang w:val="de-DE"/>
        </w:rPr>
      </w:pPr>
    </w:p>
    <w:p w14:paraId="4BCA0F5C" w14:textId="77777777" w:rsidR="00F01478" w:rsidRPr="001F23FD" w:rsidRDefault="00F01478" w:rsidP="0037259E">
      <w:pPr>
        <w:rPr>
          <w:lang w:val="de-DE"/>
        </w:rPr>
      </w:pPr>
    </w:p>
    <w:p w14:paraId="23ABCFF0" w14:textId="0EDEBCB7" w:rsidR="00D81A86" w:rsidRPr="00A86377" w:rsidRDefault="00A86377" w:rsidP="00D81A86">
      <w:pPr>
        <w:rPr>
          <w:b/>
          <w:lang w:val="de-DE"/>
        </w:rPr>
      </w:pPr>
      <w:r>
        <w:rPr>
          <w:b/>
          <w:lang w:val="de-DE"/>
        </w:rPr>
        <w:t>Abschnitt</w:t>
      </w:r>
      <w:r w:rsidR="00D81A86" w:rsidRPr="00A86377">
        <w:rPr>
          <w:b/>
          <w:lang w:val="de-DE"/>
        </w:rPr>
        <w:t xml:space="preserve"> 1: </w:t>
      </w:r>
      <w:r w:rsidRPr="00A86377">
        <w:rPr>
          <w:b/>
          <w:lang w:val="de-DE"/>
        </w:rPr>
        <w:t>Kernkonzepte in der Mikrobiologie, Pathogenese und Infektionsdiagnostik</w:t>
      </w:r>
    </w:p>
    <w:p w14:paraId="0A7B8882" w14:textId="77777777" w:rsidR="003C7131" w:rsidRPr="00A86377" w:rsidRDefault="003C7131" w:rsidP="00D81A86">
      <w:pPr>
        <w:rPr>
          <w:b/>
          <w:lang w:val="de-DE"/>
        </w:rPr>
      </w:pPr>
    </w:p>
    <w:p w14:paraId="1154FAF7" w14:textId="1E93BDF5" w:rsidR="00D81A86" w:rsidRPr="002A4B47" w:rsidRDefault="002A4B47" w:rsidP="00D81A86">
      <w:pPr>
        <w:numPr>
          <w:ilvl w:val="0"/>
          <w:numId w:val="24"/>
        </w:numPr>
        <w:rPr>
          <w:lang w:val="de-DE"/>
        </w:rPr>
      </w:pPr>
      <w:r w:rsidRPr="002A4B47">
        <w:rPr>
          <w:lang w:val="de-DE"/>
        </w:rPr>
        <w:t xml:space="preserve">Jeder unabhängige Verordner </w:t>
      </w:r>
      <w:r w:rsidR="00453F83">
        <w:rPr>
          <w:lang w:val="de-DE"/>
        </w:rPr>
        <w:t xml:space="preserve">muss </w:t>
      </w:r>
      <w:r w:rsidR="00E12264">
        <w:rPr>
          <w:lang w:val="de-DE"/>
        </w:rPr>
        <w:t xml:space="preserve">folgende Kernkonzepte </w:t>
      </w:r>
      <w:r w:rsidR="00453F83">
        <w:rPr>
          <w:lang w:val="de-DE"/>
        </w:rPr>
        <w:t>verstehen</w:t>
      </w:r>
      <w:r w:rsidR="00D81A86" w:rsidRPr="002A4B47">
        <w:rPr>
          <w:lang w:val="de-DE"/>
        </w:rPr>
        <w:t>:</w:t>
      </w:r>
    </w:p>
    <w:p w14:paraId="042C81DE" w14:textId="6422EBDE" w:rsidR="00D81A86" w:rsidRPr="002A4B47" w:rsidRDefault="00E12264" w:rsidP="00D81A86">
      <w:pPr>
        <w:numPr>
          <w:ilvl w:val="1"/>
          <w:numId w:val="24"/>
        </w:numPr>
        <w:rPr>
          <w:lang w:val="de-DE"/>
        </w:rPr>
      </w:pPr>
      <w:r>
        <w:rPr>
          <w:bCs/>
          <w:lang w:val="de-DE"/>
        </w:rPr>
        <w:t>Die Eigenschaften</w:t>
      </w:r>
      <w:r w:rsidR="002A4B47">
        <w:rPr>
          <w:bCs/>
          <w:lang w:val="de-DE"/>
        </w:rPr>
        <w:t xml:space="preserve"> und Klassifikation von </w:t>
      </w:r>
      <w:r>
        <w:rPr>
          <w:bCs/>
          <w:lang w:val="de-DE"/>
        </w:rPr>
        <w:t xml:space="preserve">solchen </w:t>
      </w:r>
      <w:r w:rsidR="002A4B47">
        <w:rPr>
          <w:bCs/>
          <w:lang w:val="de-DE"/>
        </w:rPr>
        <w:t xml:space="preserve">Mikroorganismen, die beim Menschen </w:t>
      </w:r>
      <w:r>
        <w:rPr>
          <w:bCs/>
          <w:lang w:val="de-DE"/>
        </w:rPr>
        <w:t xml:space="preserve">häufig </w:t>
      </w:r>
      <w:r w:rsidR="00453F83">
        <w:rPr>
          <w:bCs/>
          <w:lang w:val="de-DE"/>
        </w:rPr>
        <w:t>Infektionen auslösen</w:t>
      </w:r>
    </w:p>
    <w:p w14:paraId="757F9DDC" w14:textId="251ECA7E" w:rsidR="002A4B47" w:rsidRPr="002A4B47" w:rsidRDefault="00453F83" w:rsidP="00D81A86">
      <w:pPr>
        <w:numPr>
          <w:ilvl w:val="1"/>
          <w:numId w:val="24"/>
        </w:numPr>
        <w:rPr>
          <w:lang w:val="de-DE"/>
        </w:rPr>
      </w:pPr>
      <w:r>
        <w:rPr>
          <w:bCs/>
          <w:lang w:val="de-DE"/>
        </w:rPr>
        <w:t>Die häufigen</w:t>
      </w:r>
      <w:r w:rsidR="002A4B47" w:rsidRPr="002A4B47">
        <w:rPr>
          <w:bCs/>
          <w:lang w:val="de-DE"/>
        </w:rPr>
        <w:t xml:space="preserve"> mikrobi</w:t>
      </w:r>
      <w:r w:rsidR="00E12264">
        <w:rPr>
          <w:bCs/>
          <w:lang w:val="de-DE"/>
        </w:rPr>
        <w:t>ellen Ursachen</w:t>
      </w:r>
      <w:r w:rsidR="002A4B47" w:rsidRPr="002A4B47">
        <w:rPr>
          <w:bCs/>
          <w:lang w:val="de-DE"/>
        </w:rPr>
        <w:t xml:space="preserve"> von Infektionen beim Menschen und </w:t>
      </w:r>
      <w:r>
        <w:rPr>
          <w:bCs/>
          <w:lang w:val="de-DE"/>
        </w:rPr>
        <w:t>die</w:t>
      </w:r>
      <w:r w:rsidR="002A4B47" w:rsidRPr="002A4B47">
        <w:rPr>
          <w:bCs/>
          <w:lang w:val="de-DE"/>
        </w:rPr>
        <w:t xml:space="preserve"> </w:t>
      </w:r>
      <w:r w:rsidR="00E12264">
        <w:rPr>
          <w:bCs/>
          <w:lang w:val="de-DE"/>
        </w:rPr>
        <w:t>Wege</w:t>
      </w:r>
      <w:r w:rsidR="002A4B47" w:rsidRPr="002A4B47">
        <w:rPr>
          <w:bCs/>
          <w:lang w:val="de-DE"/>
        </w:rPr>
        <w:t xml:space="preserve">, </w:t>
      </w:r>
      <w:r w:rsidR="00E12264">
        <w:rPr>
          <w:bCs/>
          <w:lang w:val="de-DE"/>
        </w:rPr>
        <w:t>über welche</w:t>
      </w:r>
      <w:r w:rsidR="002A4B47" w:rsidRPr="002A4B47">
        <w:rPr>
          <w:bCs/>
          <w:lang w:val="de-DE"/>
        </w:rPr>
        <w:t xml:space="preserve"> Mikroorganismen </w:t>
      </w:r>
      <w:r>
        <w:rPr>
          <w:bCs/>
          <w:lang w:val="de-DE"/>
        </w:rPr>
        <w:t>typischerweise ambulant und im Krankenhaus</w:t>
      </w:r>
      <w:r w:rsidR="002A4B47">
        <w:rPr>
          <w:bCs/>
          <w:lang w:val="de-DE"/>
        </w:rPr>
        <w:t xml:space="preserve"> übertragen werden</w:t>
      </w:r>
    </w:p>
    <w:p w14:paraId="52DCE706" w14:textId="3F1E1FD7" w:rsidR="002A4B47" w:rsidRPr="002A4B47" w:rsidRDefault="00453F83" w:rsidP="00D81A86">
      <w:pPr>
        <w:numPr>
          <w:ilvl w:val="1"/>
          <w:numId w:val="24"/>
        </w:numPr>
        <w:rPr>
          <w:lang w:val="de-DE"/>
        </w:rPr>
      </w:pPr>
      <w:r>
        <w:rPr>
          <w:bCs/>
          <w:lang w:val="de-DE"/>
        </w:rPr>
        <w:t>Die Unterschiede</w:t>
      </w:r>
      <w:r w:rsidR="002A4B47">
        <w:rPr>
          <w:bCs/>
          <w:lang w:val="de-DE"/>
        </w:rPr>
        <w:t xml:space="preserve"> zwischen Besiedlung (z.B. Isolation von Bakterien </w:t>
      </w:r>
      <w:r w:rsidR="00E12264">
        <w:rPr>
          <w:bCs/>
          <w:lang w:val="de-DE"/>
        </w:rPr>
        <w:t xml:space="preserve">aus </w:t>
      </w:r>
      <w:r w:rsidR="002A4B47">
        <w:rPr>
          <w:bCs/>
          <w:lang w:val="de-DE"/>
        </w:rPr>
        <w:t xml:space="preserve">venösen </w:t>
      </w:r>
      <w:r w:rsidR="00E12264">
        <w:rPr>
          <w:bCs/>
          <w:lang w:val="de-DE"/>
        </w:rPr>
        <w:t>Unterschenkelgeschwüren</w:t>
      </w:r>
      <w:r w:rsidR="002A4B47">
        <w:rPr>
          <w:bCs/>
          <w:lang w:val="de-DE"/>
        </w:rPr>
        <w:t xml:space="preserve">  ohne Entzündungszeichen) und Infektion</w:t>
      </w:r>
    </w:p>
    <w:p w14:paraId="1A21C5C9" w14:textId="3D840442" w:rsidR="002A4B47" w:rsidRPr="00453F83" w:rsidRDefault="00453F83" w:rsidP="00D81A86">
      <w:pPr>
        <w:numPr>
          <w:ilvl w:val="1"/>
          <w:numId w:val="24"/>
        </w:numPr>
        <w:rPr>
          <w:lang w:val="de-DE"/>
        </w:rPr>
      </w:pPr>
      <w:r>
        <w:rPr>
          <w:bCs/>
          <w:lang w:val="de-DE"/>
        </w:rPr>
        <w:t>D</w:t>
      </w:r>
      <w:r w:rsidR="002A4B47">
        <w:rPr>
          <w:bCs/>
          <w:lang w:val="de-DE"/>
        </w:rPr>
        <w:t xml:space="preserve">ass Entzündungsreaktionen sowohl eine infektiöse als auch eine nicht-infektiöse Ursache </w:t>
      </w:r>
      <w:r>
        <w:rPr>
          <w:bCs/>
          <w:lang w:val="de-DE"/>
        </w:rPr>
        <w:t>haben</w:t>
      </w:r>
      <w:r w:rsidR="002A4B47">
        <w:rPr>
          <w:bCs/>
          <w:lang w:val="de-DE"/>
        </w:rPr>
        <w:t xml:space="preserve"> können (z.B. akute Pankreatitis)</w:t>
      </w:r>
    </w:p>
    <w:p w14:paraId="2137FE67" w14:textId="77777777" w:rsidR="003C7131" w:rsidRPr="00D76206" w:rsidRDefault="003C7131" w:rsidP="00D81A86">
      <w:pPr>
        <w:rPr>
          <w:lang w:val="de-DE"/>
        </w:rPr>
      </w:pPr>
    </w:p>
    <w:p w14:paraId="6F3A4A3D" w14:textId="2013FF56" w:rsidR="00D81A86" w:rsidRPr="002A4B47" w:rsidRDefault="002A4B47" w:rsidP="00D81A86">
      <w:pPr>
        <w:numPr>
          <w:ilvl w:val="0"/>
          <w:numId w:val="24"/>
        </w:numPr>
        <w:rPr>
          <w:lang w:val="de-DE"/>
        </w:rPr>
      </w:pPr>
      <w:r w:rsidRPr="002A4B47">
        <w:rPr>
          <w:lang w:val="de-DE"/>
        </w:rPr>
        <w:t>Je</w:t>
      </w:r>
      <w:r w:rsidR="00584D43">
        <w:rPr>
          <w:lang w:val="de-DE"/>
        </w:rPr>
        <w:t xml:space="preserve">der unabhängige Verordner </w:t>
      </w:r>
      <w:r w:rsidR="00453F83">
        <w:rPr>
          <w:lang w:val="de-DE"/>
        </w:rPr>
        <w:t>muss in der Lage sein</w:t>
      </w:r>
      <w:r w:rsidR="00584D43">
        <w:rPr>
          <w:lang w:val="de-DE"/>
        </w:rPr>
        <w:t>,</w:t>
      </w:r>
    </w:p>
    <w:p w14:paraId="7F36FFEA" w14:textId="0C97AE15" w:rsidR="002A4B47" w:rsidRPr="002A4B47" w:rsidRDefault="002A4B47" w:rsidP="00D81A86">
      <w:pPr>
        <w:numPr>
          <w:ilvl w:val="1"/>
          <w:numId w:val="24"/>
        </w:numPr>
        <w:rPr>
          <w:lang w:val="de-DE"/>
        </w:rPr>
      </w:pPr>
      <w:r w:rsidRPr="002A4B47">
        <w:rPr>
          <w:lang w:val="de-DE"/>
        </w:rPr>
        <w:t xml:space="preserve">eine sorgfältige Anamnese </w:t>
      </w:r>
      <w:r w:rsidR="00453F83">
        <w:rPr>
          <w:lang w:val="de-DE"/>
        </w:rPr>
        <w:t>zu erheben</w:t>
      </w:r>
      <w:r w:rsidRPr="002A4B47">
        <w:rPr>
          <w:lang w:val="de-DE"/>
        </w:rPr>
        <w:t xml:space="preserve"> </w:t>
      </w:r>
      <w:r>
        <w:rPr>
          <w:lang w:val="de-DE"/>
        </w:rPr>
        <w:t xml:space="preserve">und eine körperliche Untersuchung </w:t>
      </w:r>
      <w:r w:rsidR="00453F83">
        <w:rPr>
          <w:lang w:val="de-DE"/>
        </w:rPr>
        <w:t>durchzuführen</w:t>
      </w:r>
      <w:r>
        <w:rPr>
          <w:lang w:val="de-DE"/>
        </w:rPr>
        <w:t>, um gängige Infektionen zu diagnostizieren und deren Schweregrad einzustufen</w:t>
      </w:r>
    </w:p>
    <w:p w14:paraId="2A3EEF49" w14:textId="7647CDA5" w:rsidR="00D81A86" w:rsidRPr="00584D43" w:rsidRDefault="00584D43" w:rsidP="00D81A86">
      <w:pPr>
        <w:numPr>
          <w:ilvl w:val="1"/>
          <w:numId w:val="24"/>
        </w:numPr>
        <w:rPr>
          <w:lang w:val="de-DE"/>
        </w:rPr>
      </w:pPr>
      <w:r w:rsidRPr="00584D43">
        <w:rPr>
          <w:lang w:val="de-DE"/>
        </w:rPr>
        <w:t>Untersuchungen ein</w:t>
      </w:r>
      <w:r w:rsidR="00453F83">
        <w:rPr>
          <w:lang w:val="de-DE"/>
        </w:rPr>
        <w:t>zu</w:t>
      </w:r>
      <w:r w:rsidRPr="00584D43">
        <w:rPr>
          <w:lang w:val="de-DE"/>
        </w:rPr>
        <w:t xml:space="preserve">setzen und deren Ergebnisse </w:t>
      </w:r>
      <w:r w:rsidR="00453F83">
        <w:rPr>
          <w:lang w:val="de-DE"/>
        </w:rPr>
        <w:t xml:space="preserve">zu </w:t>
      </w:r>
      <w:r w:rsidRPr="00584D43">
        <w:rPr>
          <w:lang w:val="de-DE"/>
        </w:rPr>
        <w:t xml:space="preserve">interpretieren, </w:t>
      </w:r>
      <w:r>
        <w:rPr>
          <w:lang w:val="de-DE"/>
        </w:rPr>
        <w:t xml:space="preserve">die </w:t>
      </w:r>
      <w:r w:rsidR="00453F83">
        <w:rPr>
          <w:lang w:val="de-DE"/>
        </w:rPr>
        <w:t>zur Diagnose einer Infektion und zur Beurteilung des Therapieerfolgs beitragen können</w:t>
      </w:r>
      <w:r>
        <w:rPr>
          <w:lang w:val="de-DE"/>
        </w:rPr>
        <w:t xml:space="preserve"> (z.B. mikrobiologische Untersuchungen, Biomarker, Point-of-Care Tests)</w:t>
      </w:r>
    </w:p>
    <w:p w14:paraId="3BA92A01" w14:textId="77777777" w:rsidR="00453F83" w:rsidRPr="00D76206" w:rsidRDefault="00453F83" w:rsidP="00D81A86">
      <w:pPr>
        <w:rPr>
          <w:b/>
          <w:lang w:val="de-DE"/>
        </w:rPr>
      </w:pPr>
    </w:p>
    <w:p w14:paraId="777DEEDA" w14:textId="5DF2C55B" w:rsidR="00D81A86" w:rsidRDefault="00584D43" w:rsidP="00D81A86">
      <w:pPr>
        <w:rPr>
          <w:b/>
        </w:rPr>
      </w:pPr>
      <w:r>
        <w:rPr>
          <w:b/>
        </w:rPr>
        <w:t xml:space="preserve">Abschnitt </w:t>
      </w:r>
      <w:r w:rsidR="00D81A86" w:rsidRPr="00EF35DC">
        <w:rPr>
          <w:b/>
        </w:rPr>
        <w:t xml:space="preserve">2: </w:t>
      </w:r>
      <w:r>
        <w:rPr>
          <w:b/>
        </w:rPr>
        <w:t xml:space="preserve">Verschreiben von </w:t>
      </w:r>
      <w:r w:rsidR="00D632D0">
        <w:rPr>
          <w:b/>
        </w:rPr>
        <w:t>a</w:t>
      </w:r>
      <w:r>
        <w:rPr>
          <w:b/>
        </w:rPr>
        <w:t>nti</w:t>
      </w:r>
      <w:r w:rsidR="00D632D0">
        <w:rPr>
          <w:b/>
        </w:rPr>
        <w:t>mikrobiellen Substanzen</w:t>
      </w:r>
    </w:p>
    <w:p w14:paraId="635C6DDC" w14:textId="77777777" w:rsidR="00170BE3" w:rsidRPr="00EF35DC" w:rsidRDefault="00170BE3" w:rsidP="00D81A86"/>
    <w:p w14:paraId="35411E40" w14:textId="1CDF2327" w:rsidR="00D81A86" w:rsidRPr="00D632D0" w:rsidRDefault="00584D43" w:rsidP="00D81A86">
      <w:pPr>
        <w:numPr>
          <w:ilvl w:val="0"/>
          <w:numId w:val="26"/>
        </w:numPr>
        <w:rPr>
          <w:lang w:val="de-DE"/>
        </w:rPr>
      </w:pPr>
      <w:r w:rsidRPr="00D632D0">
        <w:rPr>
          <w:lang w:val="de-DE"/>
        </w:rPr>
        <w:t xml:space="preserve">Jeder unabhängige Verordner </w:t>
      </w:r>
      <w:r w:rsidR="00D632D0" w:rsidRPr="00D632D0">
        <w:rPr>
          <w:lang w:val="de-DE"/>
        </w:rPr>
        <w:t>muss verstehen</w:t>
      </w:r>
      <w:r w:rsidRPr="00D632D0">
        <w:rPr>
          <w:lang w:val="de-DE"/>
        </w:rPr>
        <w:t>,</w:t>
      </w:r>
    </w:p>
    <w:p w14:paraId="27554636" w14:textId="7CE9B66D" w:rsidR="00584D43" w:rsidRPr="00584D43" w:rsidRDefault="00584D43" w:rsidP="00D81A86">
      <w:pPr>
        <w:numPr>
          <w:ilvl w:val="1"/>
          <w:numId w:val="26"/>
        </w:numPr>
        <w:rPr>
          <w:lang w:val="de-DE"/>
        </w:rPr>
      </w:pPr>
      <w:r w:rsidRPr="00584D43">
        <w:rPr>
          <w:lang w:val="de-DE"/>
        </w:rPr>
        <w:t xml:space="preserve">wie und wo er Zugang zu relevanten Informationen zur </w:t>
      </w:r>
      <w:r w:rsidR="00D632D0">
        <w:rPr>
          <w:lang w:val="de-DE"/>
        </w:rPr>
        <w:t>V</w:t>
      </w:r>
      <w:r w:rsidRPr="00584D43">
        <w:rPr>
          <w:lang w:val="de-DE"/>
        </w:rPr>
        <w:t xml:space="preserve">erschreibung </w:t>
      </w:r>
      <w:r w:rsidR="00D632D0">
        <w:rPr>
          <w:lang w:val="de-DE"/>
        </w:rPr>
        <w:t xml:space="preserve">von antimikrobiellen Substanzen </w:t>
      </w:r>
      <w:r w:rsidRPr="00584D43">
        <w:rPr>
          <w:lang w:val="de-DE"/>
        </w:rPr>
        <w:t>und Antibiotic Stewardship erhält</w:t>
      </w:r>
    </w:p>
    <w:p w14:paraId="4DA53B9F" w14:textId="2E22BAE7" w:rsidR="00584D43" w:rsidRPr="00584D43" w:rsidRDefault="00584D43" w:rsidP="00D81A86">
      <w:pPr>
        <w:numPr>
          <w:ilvl w:val="1"/>
          <w:numId w:val="26"/>
        </w:numPr>
        <w:rPr>
          <w:lang w:val="de-DE"/>
        </w:rPr>
      </w:pPr>
      <w:r>
        <w:rPr>
          <w:lang w:val="de-DE"/>
        </w:rPr>
        <w:t xml:space="preserve">wann </w:t>
      </w:r>
      <w:r w:rsidR="00D632D0">
        <w:rPr>
          <w:lang w:val="de-DE"/>
        </w:rPr>
        <w:t>antimikrobielle Substanzen</w:t>
      </w:r>
      <w:r>
        <w:rPr>
          <w:lang w:val="de-DE"/>
        </w:rPr>
        <w:t xml:space="preserve"> nicht verschrieben werden sollten (z.B. </w:t>
      </w:r>
      <w:r w:rsidR="00D632D0">
        <w:rPr>
          <w:lang w:val="de-DE"/>
        </w:rPr>
        <w:t xml:space="preserve">Antibiotika </w:t>
      </w:r>
      <w:r>
        <w:rPr>
          <w:lang w:val="de-DE"/>
        </w:rPr>
        <w:t>bei Virusinfektionen oder bei bakterieller Besiedlung)</w:t>
      </w:r>
    </w:p>
    <w:p w14:paraId="0D2F946D" w14:textId="5BA078C0" w:rsidR="00D81A86" w:rsidRPr="00584D43" w:rsidRDefault="00584D43" w:rsidP="00D81A86">
      <w:pPr>
        <w:numPr>
          <w:ilvl w:val="1"/>
          <w:numId w:val="26"/>
        </w:numPr>
        <w:rPr>
          <w:lang w:val="de-DE"/>
        </w:rPr>
      </w:pPr>
      <w:r w:rsidRPr="00584D43">
        <w:rPr>
          <w:lang w:val="de-DE"/>
        </w:rPr>
        <w:t xml:space="preserve">dass bei manchen Infektionen die Antibiotikatherapie </w:t>
      </w:r>
      <w:r>
        <w:rPr>
          <w:lang w:val="de-DE"/>
        </w:rPr>
        <w:t>nicht zur „Best Practice“ gehört</w:t>
      </w:r>
      <w:r w:rsidRPr="00584D43">
        <w:rPr>
          <w:lang w:val="de-DE"/>
        </w:rPr>
        <w:t xml:space="preserve"> (z.B. </w:t>
      </w:r>
      <w:r>
        <w:rPr>
          <w:lang w:val="de-DE"/>
        </w:rPr>
        <w:t>Spaltung und Drainage von Abszessen, Entfernung von Fremdkörpern)</w:t>
      </w:r>
    </w:p>
    <w:p w14:paraId="2B9997AE" w14:textId="443BBB4E" w:rsidR="00D81A86" w:rsidRPr="001F23FD" w:rsidRDefault="00D81A86" w:rsidP="00D81A86">
      <w:pPr>
        <w:rPr>
          <w:lang w:val="de-DE"/>
        </w:rPr>
      </w:pPr>
    </w:p>
    <w:p w14:paraId="6C276869" w14:textId="467F85C1" w:rsidR="00EB03A5" w:rsidRPr="00EB03A5" w:rsidRDefault="008E503E" w:rsidP="00EB03A5">
      <w:pPr>
        <w:numPr>
          <w:ilvl w:val="0"/>
          <w:numId w:val="26"/>
        </w:numPr>
        <w:rPr>
          <w:b/>
          <w:bCs/>
          <w:lang w:val="de-DE"/>
        </w:rPr>
      </w:pPr>
      <w:r w:rsidRPr="00EB03A5">
        <w:rPr>
          <w:lang w:val="de-DE"/>
        </w:rPr>
        <w:t>Jeder unabhängige V</w:t>
      </w:r>
      <w:r w:rsidR="00EB03A5" w:rsidRPr="00EB03A5">
        <w:rPr>
          <w:lang w:val="de-DE"/>
        </w:rPr>
        <w:t>erordner muss wissen, wie er die</w:t>
      </w:r>
      <w:r w:rsidRPr="00EB03A5">
        <w:rPr>
          <w:lang w:val="de-DE"/>
        </w:rPr>
        <w:t xml:space="preserve"> </w:t>
      </w:r>
      <w:r w:rsidR="00EB03A5" w:rsidRPr="00EB03A5">
        <w:rPr>
          <w:lang w:val="de-DE"/>
        </w:rPr>
        <w:t>angemessene</w:t>
      </w:r>
      <w:r w:rsidRPr="00EB03A5">
        <w:rPr>
          <w:lang w:val="de-DE"/>
        </w:rPr>
        <w:t xml:space="preserve"> </w:t>
      </w:r>
      <w:r w:rsidR="00EB03A5" w:rsidRPr="00EB03A5">
        <w:rPr>
          <w:lang w:val="de-DE"/>
        </w:rPr>
        <w:t xml:space="preserve">antimikrobielle Substanz </w:t>
      </w:r>
      <w:r w:rsidRPr="00EB03A5">
        <w:rPr>
          <w:lang w:val="de-DE"/>
        </w:rPr>
        <w:t>auswählt; wenn möglich, müssen die entsprechenden Leitlinien</w:t>
      </w:r>
      <w:r w:rsidR="00EB03A5" w:rsidRPr="00EB03A5">
        <w:rPr>
          <w:lang w:val="de-DE"/>
        </w:rPr>
        <w:t xml:space="preserve"> angewendet werden, ebenso</w:t>
      </w:r>
      <w:r w:rsidRPr="00EB03A5">
        <w:rPr>
          <w:lang w:val="de-DE"/>
        </w:rPr>
        <w:t xml:space="preserve"> </w:t>
      </w:r>
      <w:r w:rsidR="00EB03A5" w:rsidRPr="00EB03A5">
        <w:rPr>
          <w:lang w:val="de-DE"/>
        </w:rPr>
        <w:t>die Grundsätze zum Beginn einer antimikrobiellen Therapie:</w:t>
      </w:r>
    </w:p>
    <w:p w14:paraId="54BEED3E" w14:textId="68DF5E5D" w:rsidR="008E503E" w:rsidRPr="00EB03A5" w:rsidRDefault="008E503E" w:rsidP="00D81A86">
      <w:pPr>
        <w:numPr>
          <w:ilvl w:val="0"/>
          <w:numId w:val="1"/>
        </w:numPr>
        <w:rPr>
          <w:lang w:val="de-DE"/>
        </w:rPr>
      </w:pPr>
      <w:r w:rsidRPr="00EB03A5">
        <w:rPr>
          <w:lang w:val="de-DE"/>
        </w:rPr>
        <w:t xml:space="preserve">Anforderung entsprechender mikrobiologischer Kulturen oder </w:t>
      </w:r>
      <w:r w:rsidR="00EB03A5">
        <w:rPr>
          <w:lang w:val="de-DE"/>
        </w:rPr>
        <w:t xml:space="preserve">relevanter Untersuchungen </w:t>
      </w:r>
      <w:r w:rsidRPr="00EB03A5">
        <w:rPr>
          <w:lang w:val="de-DE"/>
        </w:rPr>
        <w:t xml:space="preserve">vor </w:t>
      </w:r>
      <w:r w:rsidR="00EB03A5">
        <w:rPr>
          <w:lang w:val="de-DE"/>
        </w:rPr>
        <w:t>Behandlungsbeginn</w:t>
      </w:r>
    </w:p>
    <w:p w14:paraId="17EB9A3F" w14:textId="35C64005" w:rsidR="008E503E" w:rsidRDefault="00EB03A5" w:rsidP="00D81A86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Zeitrahmen</w:t>
      </w:r>
      <w:r w:rsidR="008E503E">
        <w:rPr>
          <w:lang w:val="de-DE"/>
        </w:rPr>
        <w:t xml:space="preserve"> der Antibiotikagabe in verschiedenen Situationen (z.B. so schnell wie möglich bei lebensbedrohlichen Infektionen, weniger dringlich bei chronischen Knocheninfektionen)</w:t>
      </w:r>
    </w:p>
    <w:p w14:paraId="605C42EF" w14:textId="5612C487" w:rsidR="008E503E" w:rsidRDefault="008E503E" w:rsidP="00D81A86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Wahl und Dosis des Wirkstoffs und Darreichungsform</w:t>
      </w:r>
    </w:p>
    <w:p w14:paraId="290A53F9" w14:textId="1192CF05" w:rsidR="008E503E" w:rsidRPr="008E503E" w:rsidRDefault="008E503E" w:rsidP="00D81A86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Dauer der Behandlung, Zeitpunkt</w:t>
      </w:r>
      <w:r w:rsidR="00EB03A5">
        <w:rPr>
          <w:lang w:val="de-DE"/>
        </w:rPr>
        <w:t>e</w:t>
      </w:r>
      <w:r>
        <w:rPr>
          <w:lang w:val="de-DE"/>
        </w:rPr>
        <w:t xml:space="preserve"> der Zwischenbeurteilung und Ende der Anwendung</w:t>
      </w:r>
    </w:p>
    <w:p w14:paraId="0F4C0001" w14:textId="4A17F1E1" w:rsidR="00D81A86" w:rsidRPr="001F23FD" w:rsidRDefault="00D81A86" w:rsidP="00D81A86">
      <w:pPr>
        <w:rPr>
          <w:lang w:val="de-DE"/>
        </w:rPr>
      </w:pPr>
    </w:p>
    <w:p w14:paraId="28291A92" w14:textId="5EFEE945" w:rsidR="00C74304" w:rsidRPr="00C74304" w:rsidRDefault="00C74304" w:rsidP="00D81A86">
      <w:pPr>
        <w:numPr>
          <w:ilvl w:val="0"/>
          <w:numId w:val="26"/>
        </w:numPr>
        <w:rPr>
          <w:lang w:val="de-DE"/>
        </w:rPr>
      </w:pPr>
      <w:r w:rsidRPr="00C74304">
        <w:rPr>
          <w:lang w:val="de-DE"/>
        </w:rPr>
        <w:t xml:space="preserve">Jeder unabhängige Verordner muss die Grundprinzipien des Fortsetzens und der </w:t>
      </w:r>
      <w:r w:rsidR="00CB2408">
        <w:rPr>
          <w:lang w:val="de-DE"/>
        </w:rPr>
        <w:t>Rationalisierung der Antibiotikatherapie verstehen:</w:t>
      </w:r>
    </w:p>
    <w:p w14:paraId="5FBDC56A" w14:textId="649814D9" w:rsidR="00CB2408" w:rsidRDefault="00CB2408" w:rsidP="00D81A86">
      <w:pPr>
        <w:numPr>
          <w:ilvl w:val="0"/>
          <w:numId w:val="3"/>
        </w:numPr>
        <w:rPr>
          <w:lang w:val="de-DE"/>
        </w:rPr>
      </w:pPr>
      <w:r w:rsidRPr="00CB2408">
        <w:rPr>
          <w:lang w:val="de-DE"/>
        </w:rPr>
        <w:t>Überwachung des Antibiotika</w:t>
      </w:r>
      <w:r w:rsidR="00392A92">
        <w:rPr>
          <w:lang w:val="de-DE"/>
        </w:rPr>
        <w:t>spiegel</w:t>
      </w:r>
      <w:r w:rsidRPr="00CB2408">
        <w:rPr>
          <w:lang w:val="de-DE"/>
        </w:rPr>
        <w:t xml:space="preserve">, wenn dies indiziert ist, und Anpassung der Dosis (z.B. </w:t>
      </w:r>
      <w:r>
        <w:rPr>
          <w:lang w:val="de-DE"/>
        </w:rPr>
        <w:t>bei Patienten mit eingeschränkter Nierenfunktion)</w:t>
      </w:r>
    </w:p>
    <w:p w14:paraId="63D9C447" w14:textId="35F81BAF" w:rsidR="00CB2408" w:rsidRDefault="00CB2408" w:rsidP="00D81A86">
      <w:pPr>
        <w:numPr>
          <w:ilvl w:val="0"/>
          <w:numId w:val="3"/>
        </w:numPr>
        <w:rPr>
          <w:lang w:val="de-DE"/>
        </w:rPr>
      </w:pPr>
      <w:r>
        <w:rPr>
          <w:lang w:val="de-DE"/>
        </w:rPr>
        <w:t>Antibiotikawechsel basierend auf den Ergebnissen der mikrobiologischen Untersuchung und dem klinischen Zustand, idealerweise zu einem schmaleren Spektrum (Deeskalation) oder – wenn erforderlich – zu einem breiteren Spektrum (Eskalation)</w:t>
      </w:r>
    </w:p>
    <w:p w14:paraId="0A4ACDF6" w14:textId="5A48DD27" w:rsidR="00CB2408" w:rsidRPr="00CB2408" w:rsidRDefault="00CB2408" w:rsidP="00D81A86">
      <w:pPr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Zwischenbeurteilung </w:t>
      </w:r>
      <w:r w:rsidR="00392A92">
        <w:rPr>
          <w:lang w:val="de-DE"/>
        </w:rPr>
        <w:t>der Antibiotikatherapie</w:t>
      </w:r>
      <w:r>
        <w:rPr>
          <w:lang w:val="de-DE"/>
        </w:rPr>
        <w:t xml:space="preserve"> nach 48-72 Stunden und in regelmäßigen Abständen</w:t>
      </w:r>
      <w:r w:rsidR="003A56D6">
        <w:rPr>
          <w:lang w:val="de-DE"/>
        </w:rPr>
        <w:t xml:space="preserve"> danach</w:t>
      </w:r>
      <w:r>
        <w:rPr>
          <w:lang w:val="de-DE"/>
        </w:rPr>
        <w:t xml:space="preserve"> bei stationären Patienten</w:t>
      </w:r>
      <w:r w:rsidR="00A6432E">
        <w:rPr>
          <w:lang w:val="de-DE"/>
        </w:rPr>
        <w:t xml:space="preserve"> und</w:t>
      </w:r>
      <w:r w:rsidR="003A56D6">
        <w:rPr>
          <w:lang w:val="de-DE"/>
        </w:rPr>
        <w:t>, sofern</w:t>
      </w:r>
      <w:r w:rsidR="00354EB4">
        <w:rPr>
          <w:lang w:val="de-DE"/>
        </w:rPr>
        <w:t xml:space="preserve"> </w:t>
      </w:r>
      <w:r w:rsidR="00392A92">
        <w:rPr>
          <w:lang w:val="de-DE"/>
        </w:rPr>
        <w:t>angemessen</w:t>
      </w:r>
      <w:r w:rsidR="003A56D6">
        <w:rPr>
          <w:lang w:val="de-DE"/>
        </w:rPr>
        <w:t>, auch</w:t>
      </w:r>
      <w:r w:rsidR="00392A92">
        <w:rPr>
          <w:lang w:val="de-DE"/>
        </w:rPr>
        <w:t xml:space="preserve"> im ambulanten Bereich</w:t>
      </w:r>
    </w:p>
    <w:p w14:paraId="32A39E76" w14:textId="385910E3" w:rsidR="00D81A86" w:rsidRDefault="00084367" w:rsidP="00D81A86">
      <w:pPr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Schnellstmögliches </w:t>
      </w:r>
      <w:r w:rsidRPr="00084367">
        <w:rPr>
          <w:lang w:val="de-DE"/>
        </w:rPr>
        <w:t>Umstellen der Antibiotikatherapie von intravenöser zu oraler Gabe</w:t>
      </w:r>
      <w:r w:rsidR="00392A92">
        <w:rPr>
          <w:lang w:val="de-DE"/>
        </w:rPr>
        <w:t xml:space="preserve">, </w:t>
      </w:r>
      <w:r w:rsidR="003A56D6">
        <w:rPr>
          <w:lang w:val="de-DE"/>
        </w:rPr>
        <w:t>sofern</w:t>
      </w:r>
      <w:r w:rsidR="00392A92">
        <w:rPr>
          <w:lang w:val="de-DE"/>
        </w:rPr>
        <w:t xml:space="preserve"> indiziert</w:t>
      </w:r>
      <w:r>
        <w:rPr>
          <w:lang w:val="de-DE"/>
        </w:rPr>
        <w:t xml:space="preserve"> (gemäß Richtlinien)</w:t>
      </w:r>
    </w:p>
    <w:p w14:paraId="062863F6" w14:textId="67ECE6D1" w:rsidR="00084367" w:rsidRDefault="00084367" w:rsidP="00D81A86">
      <w:pPr>
        <w:numPr>
          <w:ilvl w:val="0"/>
          <w:numId w:val="3"/>
        </w:numPr>
        <w:rPr>
          <w:lang w:val="de-DE"/>
        </w:rPr>
      </w:pPr>
      <w:r>
        <w:rPr>
          <w:lang w:val="de-DE"/>
        </w:rPr>
        <w:lastRenderedPageBreak/>
        <w:t>Unterbrechung der Antibiotikagabe bei fehlendem Nachweis einer Infektion</w:t>
      </w:r>
      <w:r w:rsidR="00392A92">
        <w:rPr>
          <w:lang w:val="de-DE"/>
        </w:rPr>
        <w:t>,</w:t>
      </w:r>
      <w:r>
        <w:rPr>
          <w:lang w:val="de-DE"/>
        </w:rPr>
        <w:t xml:space="preserve"> basierend auf klinischen Befunden und Untersuchungsergebnissen (z.B. negative </w:t>
      </w:r>
      <w:r w:rsidR="00392A92">
        <w:rPr>
          <w:lang w:val="de-DE"/>
        </w:rPr>
        <w:t>Kulturbefunde</w:t>
      </w:r>
      <w:r>
        <w:rPr>
          <w:lang w:val="de-DE"/>
        </w:rPr>
        <w:t>, Bildgebung)</w:t>
      </w:r>
    </w:p>
    <w:p w14:paraId="2D1F093D" w14:textId="77777777" w:rsidR="00392A92" w:rsidRDefault="00392A92" w:rsidP="00392A92">
      <w:pPr>
        <w:rPr>
          <w:lang w:val="de-DE"/>
        </w:rPr>
      </w:pPr>
    </w:p>
    <w:p w14:paraId="1AB24746" w14:textId="77777777" w:rsidR="00392A92" w:rsidRPr="00D76206" w:rsidRDefault="00392A92" w:rsidP="00392A92">
      <w:pPr>
        <w:rPr>
          <w:lang w:val="de-DE"/>
        </w:rPr>
      </w:pPr>
    </w:p>
    <w:p w14:paraId="2BEA3170" w14:textId="349751A4" w:rsidR="009C1E36" w:rsidRPr="009C1E36" w:rsidRDefault="009C1E36" w:rsidP="00D81A86">
      <w:pPr>
        <w:numPr>
          <w:ilvl w:val="0"/>
          <w:numId w:val="26"/>
        </w:numPr>
        <w:rPr>
          <w:lang w:val="de-DE"/>
        </w:rPr>
      </w:pPr>
      <w:r w:rsidRPr="009C1E36">
        <w:rPr>
          <w:lang w:val="de-DE"/>
        </w:rPr>
        <w:t xml:space="preserve">Jeder unabhängige Verordner muss die Notwendigkeit kennen und </w:t>
      </w:r>
      <w:r w:rsidR="00674D8D">
        <w:rPr>
          <w:lang w:val="de-DE"/>
        </w:rPr>
        <w:t xml:space="preserve">verstehen, </w:t>
      </w:r>
      <w:r w:rsidRPr="009C1E36">
        <w:rPr>
          <w:lang w:val="de-DE"/>
        </w:rPr>
        <w:t xml:space="preserve">wichtige Details </w:t>
      </w:r>
      <w:r w:rsidR="00674D8D">
        <w:rPr>
          <w:lang w:val="de-DE"/>
        </w:rPr>
        <w:t xml:space="preserve">der antimikrobiellen Therapie </w:t>
      </w:r>
      <w:r w:rsidR="00322F44">
        <w:rPr>
          <w:lang w:val="de-DE"/>
        </w:rPr>
        <w:t>i</w:t>
      </w:r>
      <w:r w:rsidR="00F53605">
        <w:rPr>
          <w:lang w:val="de-DE"/>
        </w:rPr>
        <w:t>n</w:t>
      </w:r>
      <w:r w:rsidR="00322F44">
        <w:rPr>
          <w:lang w:val="de-DE"/>
        </w:rPr>
        <w:t xml:space="preserve"> Medikationsplan, in der Patientenakte und den Überweisungs-/Entlasspapieren </w:t>
      </w:r>
      <w:r w:rsidR="00F53605">
        <w:rPr>
          <w:lang w:val="de-DE"/>
        </w:rPr>
        <w:t xml:space="preserve">zu dokumentieren </w:t>
      </w:r>
      <w:r w:rsidRPr="009C1E36">
        <w:rPr>
          <w:lang w:val="de-DE"/>
        </w:rPr>
        <w:t xml:space="preserve">(z.B. </w:t>
      </w:r>
      <w:r>
        <w:rPr>
          <w:lang w:val="de-DE"/>
        </w:rPr>
        <w:t xml:space="preserve">Wirkstoff, Dosierung, Darreichungsform, klinische Indikation, Dauer und </w:t>
      </w:r>
      <w:r w:rsidR="00F53605">
        <w:rPr>
          <w:lang w:val="de-DE"/>
        </w:rPr>
        <w:t xml:space="preserve">Zeitpunkte der </w:t>
      </w:r>
      <w:r>
        <w:rPr>
          <w:lang w:val="de-DE"/>
        </w:rPr>
        <w:t xml:space="preserve">Zwischenbeurteilung) </w:t>
      </w:r>
    </w:p>
    <w:p w14:paraId="76035BF7" w14:textId="5ADB92B0" w:rsidR="00D81A86" w:rsidRPr="001F23FD" w:rsidRDefault="00F53605" w:rsidP="00D81A86">
      <w:pPr>
        <w:rPr>
          <w:lang w:val="de-DE"/>
        </w:rPr>
      </w:pPr>
      <w:r>
        <w:rPr>
          <w:lang w:val="de-DE"/>
        </w:rPr>
        <w:t xml:space="preserve"> </w:t>
      </w:r>
    </w:p>
    <w:p w14:paraId="15AFF6F2" w14:textId="0B623268" w:rsidR="00322F44" w:rsidRPr="00322F44" w:rsidRDefault="00322F44" w:rsidP="00D81A86">
      <w:pPr>
        <w:numPr>
          <w:ilvl w:val="0"/>
          <w:numId w:val="26"/>
        </w:numPr>
        <w:rPr>
          <w:bCs/>
          <w:lang w:val="de-DE"/>
        </w:rPr>
      </w:pPr>
      <w:r w:rsidRPr="00322F44">
        <w:rPr>
          <w:bCs/>
          <w:lang w:val="de-DE"/>
        </w:rPr>
        <w:t>Jeder unabhängige Verordner muss</w:t>
      </w:r>
    </w:p>
    <w:p w14:paraId="3A27B112" w14:textId="1331D41F" w:rsidR="00322F44" w:rsidRDefault="00322F44" w:rsidP="00D81A86">
      <w:pPr>
        <w:numPr>
          <w:ilvl w:val="1"/>
          <w:numId w:val="26"/>
        </w:numPr>
        <w:rPr>
          <w:lang w:val="de-DE"/>
        </w:rPr>
      </w:pPr>
      <w:r>
        <w:rPr>
          <w:lang w:val="de-DE"/>
        </w:rPr>
        <w:t xml:space="preserve">wissen, </w:t>
      </w:r>
      <w:r w:rsidRPr="00322F44">
        <w:rPr>
          <w:lang w:val="de-DE"/>
        </w:rPr>
        <w:t xml:space="preserve">dass sich die empirische Behandlung an lokalen Antibiotikaresistenzmustern orientieren </w:t>
      </w:r>
      <w:r w:rsidR="005B30AE">
        <w:rPr>
          <w:lang w:val="de-DE"/>
        </w:rPr>
        <w:t>sollte</w:t>
      </w:r>
    </w:p>
    <w:p w14:paraId="267B41BB" w14:textId="4481FA16" w:rsidR="00322F44" w:rsidRDefault="00322F44" w:rsidP="00D81A86">
      <w:pPr>
        <w:numPr>
          <w:ilvl w:val="1"/>
          <w:numId w:val="26"/>
        </w:numPr>
        <w:rPr>
          <w:lang w:val="de-DE"/>
        </w:rPr>
      </w:pPr>
      <w:r>
        <w:rPr>
          <w:lang w:val="de-DE"/>
        </w:rPr>
        <w:t xml:space="preserve">das klinisch relevante Wirkspektrum üblicherweise verschriebener </w:t>
      </w:r>
      <w:r w:rsidR="005B30AE">
        <w:rPr>
          <w:lang w:val="de-DE"/>
        </w:rPr>
        <w:t>antimikrobieller Substanzen</w:t>
      </w:r>
      <w:r>
        <w:rPr>
          <w:lang w:val="de-DE"/>
        </w:rPr>
        <w:t xml:space="preserve"> kennen</w:t>
      </w:r>
    </w:p>
    <w:p w14:paraId="61955FB3" w14:textId="4963E506" w:rsidR="00322F44" w:rsidRPr="00322F44" w:rsidRDefault="00322F44" w:rsidP="00D81A86">
      <w:pPr>
        <w:numPr>
          <w:ilvl w:val="1"/>
          <w:numId w:val="26"/>
        </w:numPr>
        <w:rPr>
          <w:lang w:val="de-DE"/>
        </w:rPr>
      </w:pPr>
      <w:r>
        <w:rPr>
          <w:lang w:val="de-DE"/>
        </w:rPr>
        <w:t xml:space="preserve">die Grundprinzipien der Pharmakokinetik und Pharmakodynamik </w:t>
      </w:r>
      <w:r w:rsidR="005B30AE">
        <w:rPr>
          <w:lang w:val="de-DE"/>
        </w:rPr>
        <w:t>verstehen</w:t>
      </w:r>
    </w:p>
    <w:p w14:paraId="03C70C27" w14:textId="287FF9B8" w:rsidR="00D81A86" w:rsidRPr="001F23FD" w:rsidRDefault="00D81A86" w:rsidP="00D81A86">
      <w:pPr>
        <w:rPr>
          <w:lang w:val="de-DE"/>
        </w:rPr>
      </w:pPr>
    </w:p>
    <w:p w14:paraId="18853BBB" w14:textId="66F5908E" w:rsidR="00322F44" w:rsidRPr="00322F44" w:rsidRDefault="00322F44" w:rsidP="00D81A86">
      <w:pPr>
        <w:numPr>
          <w:ilvl w:val="0"/>
          <w:numId w:val="26"/>
        </w:numPr>
        <w:rPr>
          <w:lang w:val="de-DE"/>
        </w:rPr>
      </w:pPr>
      <w:r w:rsidRPr="00322F44">
        <w:rPr>
          <w:lang w:val="de-DE"/>
        </w:rPr>
        <w:t xml:space="preserve">Bei Verschreibung </w:t>
      </w:r>
      <w:r w:rsidR="004327BF">
        <w:rPr>
          <w:lang w:val="de-DE"/>
        </w:rPr>
        <w:t>einer antimikrobiellen Substanz</w:t>
      </w:r>
      <w:r w:rsidRPr="00322F44">
        <w:rPr>
          <w:lang w:val="de-DE"/>
        </w:rPr>
        <w:t xml:space="preserve"> muss jeder unabhängige Verordner</w:t>
      </w:r>
    </w:p>
    <w:p w14:paraId="25BBFF00" w14:textId="621071E1" w:rsidR="00322F44" w:rsidRPr="001650E1" w:rsidRDefault="001650E1" w:rsidP="00D81A86">
      <w:pPr>
        <w:numPr>
          <w:ilvl w:val="1"/>
          <w:numId w:val="26"/>
        </w:numPr>
        <w:rPr>
          <w:lang w:val="de-DE"/>
        </w:rPr>
      </w:pPr>
      <w:r w:rsidRPr="001650E1">
        <w:rPr>
          <w:lang w:val="de-DE"/>
        </w:rPr>
        <w:t>die Antibiotikaklasse kennen, zu der der Wirkstoff gehört, sowie die Kontraindikationen der Anwendung</w:t>
      </w:r>
    </w:p>
    <w:p w14:paraId="1DC32288" w14:textId="2454771C" w:rsidR="001650E1" w:rsidRPr="001650E1" w:rsidRDefault="001650E1" w:rsidP="00D81A86">
      <w:pPr>
        <w:numPr>
          <w:ilvl w:val="1"/>
          <w:numId w:val="26"/>
        </w:numPr>
        <w:rPr>
          <w:lang w:val="de-DE"/>
        </w:rPr>
      </w:pPr>
      <w:r>
        <w:rPr>
          <w:lang w:val="de-DE"/>
        </w:rPr>
        <w:t>den Namen und die Klasse de</w:t>
      </w:r>
      <w:r w:rsidR="004327BF">
        <w:rPr>
          <w:lang w:val="de-DE"/>
        </w:rPr>
        <w:t>r</w:t>
      </w:r>
      <w:r>
        <w:rPr>
          <w:lang w:val="de-DE"/>
        </w:rPr>
        <w:t xml:space="preserve"> verschriebenen </w:t>
      </w:r>
      <w:r w:rsidR="004327BF">
        <w:rPr>
          <w:lang w:val="de-DE"/>
        </w:rPr>
        <w:t xml:space="preserve">antimikrobiellen Substanz </w:t>
      </w:r>
      <w:r>
        <w:rPr>
          <w:lang w:val="de-DE"/>
        </w:rPr>
        <w:t>kennen, wenn das Rezept auf den Handelsnamen ausgestellt ist</w:t>
      </w:r>
    </w:p>
    <w:p w14:paraId="2C9F0E52" w14:textId="03E66E03" w:rsidR="00D81A86" w:rsidRPr="001F23FD" w:rsidRDefault="00D81A86" w:rsidP="00D81A86">
      <w:pPr>
        <w:rPr>
          <w:lang w:val="de-DE"/>
        </w:rPr>
      </w:pPr>
    </w:p>
    <w:p w14:paraId="3B3CA063" w14:textId="0EACB115" w:rsidR="001650E1" w:rsidRPr="005C7A73" w:rsidRDefault="005C7A73" w:rsidP="00D81A86">
      <w:pPr>
        <w:numPr>
          <w:ilvl w:val="0"/>
          <w:numId w:val="26"/>
        </w:numPr>
        <w:rPr>
          <w:bCs/>
          <w:lang w:val="de-DE"/>
        </w:rPr>
      </w:pPr>
      <w:r w:rsidRPr="005C7A73">
        <w:rPr>
          <w:bCs/>
          <w:lang w:val="de-DE"/>
        </w:rPr>
        <w:t xml:space="preserve">Jeder unabhängige Verordner muss die Einzeldosisverabreichung zur Prophylaxe bei chirurgischen </w:t>
      </w:r>
      <w:r w:rsidR="003A56D6">
        <w:rPr>
          <w:bCs/>
          <w:lang w:val="de-DE"/>
        </w:rPr>
        <w:t xml:space="preserve">und anderen </w:t>
      </w:r>
      <w:r>
        <w:rPr>
          <w:bCs/>
          <w:lang w:val="de-DE"/>
        </w:rPr>
        <w:t>Eingriffen</w:t>
      </w:r>
      <w:r w:rsidRPr="005C7A73">
        <w:rPr>
          <w:bCs/>
          <w:lang w:val="de-DE"/>
        </w:rPr>
        <w:t xml:space="preserve"> </w:t>
      </w:r>
      <w:r w:rsidR="00F34703">
        <w:rPr>
          <w:bCs/>
          <w:lang w:val="de-DE"/>
        </w:rPr>
        <w:t>kennen</w:t>
      </w:r>
      <w:r>
        <w:rPr>
          <w:bCs/>
          <w:lang w:val="de-DE"/>
        </w:rPr>
        <w:t xml:space="preserve">, bei denen sich eine Prophylaxe als wirksam erwiesen hat, und </w:t>
      </w:r>
      <w:r w:rsidR="003A56D6">
        <w:rPr>
          <w:bCs/>
          <w:lang w:val="de-DE"/>
        </w:rPr>
        <w:t xml:space="preserve">muss wissen, </w:t>
      </w:r>
      <w:r>
        <w:rPr>
          <w:bCs/>
          <w:lang w:val="de-DE"/>
        </w:rPr>
        <w:t>dass gelegentlich zusätzliche Antibiotikagabe</w:t>
      </w:r>
      <w:r w:rsidR="003A56D6">
        <w:rPr>
          <w:bCs/>
          <w:lang w:val="de-DE"/>
        </w:rPr>
        <w:t>n</w:t>
      </w:r>
      <w:r>
        <w:rPr>
          <w:bCs/>
          <w:lang w:val="de-DE"/>
        </w:rPr>
        <w:t xml:space="preserve"> zur Prophylaxe erforderlich sein k</w:t>
      </w:r>
      <w:r w:rsidR="003A56D6">
        <w:rPr>
          <w:bCs/>
          <w:lang w:val="de-DE"/>
        </w:rPr>
        <w:t>önnen</w:t>
      </w:r>
      <w:r>
        <w:rPr>
          <w:bCs/>
          <w:lang w:val="de-DE"/>
        </w:rPr>
        <w:t xml:space="preserve"> (z.B. bei verlängerter Operationsdauer).</w:t>
      </w:r>
    </w:p>
    <w:p w14:paraId="17519FEC" w14:textId="25BAE0D0" w:rsidR="00D81A86" w:rsidRPr="001F23FD" w:rsidRDefault="00D81A86" w:rsidP="00D81A86">
      <w:pPr>
        <w:rPr>
          <w:lang w:val="de-DE"/>
        </w:rPr>
      </w:pPr>
    </w:p>
    <w:p w14:paraId="5F5FF64B" w14:textId="7F7886C4" w:rsidR="005C7A73" w:rsidRPr="005C7A73" w:rsidRDefault="005C7A73" w:rsidP="00D81A86">
      <w:pPr>
        <w:numPr>
          <w:ilvl w:val="0"/>
          <w:numId w:val="26"/>
        </w:numPr>
        <w:rPr>
          <w:bCs/>
        </w:rPr>
      </w:pPr>
      <w:r>
        <w:rPr>
          <w:bCs/>
        </w:rPr>
        <w:t>Jeder unabhängige Verordner muss</w:t>
      </w:r>
    </w:p>
    <w:p w14:paraId="50676ED7" w14:textId="64F40DDC" w:rsidR="00D81A86" w:rsidRPr="005C7A73" w:rsidRDefault="005C7A73" w:rsidP="00D81A86">
      <w:pPr>
        <w:numPr>
          <w:ilvl w:val="1"/>
          <w:numId w:val="26"/>
        </w:numPr>
        <w:rPr>
          <w:lang w:val="de-DE"/>
        </w:rPr>
      </w:pPr>
      <w:r w:rsidRPr="005C7A73">
        <w:rPr>
          <w:bCs/>
          <w:lang w:val="de-DE"/>
        </w:rPr>
        <w:t xml:space="preserve">die </w:t>
      </w:r>
      <w:r w:rsidR="00F80F0E">
        <w:rPr>
          <w:bCs/>
          <w:lang w:val="de-DE"/>
        </w:rPr>
        <w:t>häufigen</w:t>
      </w:r>
      <w:r w:rsidRPr="005C7A73">
        <w:rPr>
          <w:bCs/>
          <w:lang w:val="de-DE"/>
        </w:rPr>
        <w:t xml:space="preserve"> Wechselwirkungen zwischen Antibiotika und anderen Medikamenten/Nahrungsmitteln kennen</w:t>
      </w:r>
    </w:p>
    <w:p w14:paraId="685CF6BC" w14:textId="159D34DE" w:rsidR="005C7A73" w:rsidRPr="005C7A73" w:rsidRDefault="005C7A73" w:rsidP="00D81A86">
      <w:pPr>
        <w:numPr>
          <w:ilvl w:val="1"/>
          <w:numId w:val="26"/>
        </w:numPr>
        <w:rPr>
          <w:lang w:val="de-DE"/>
        </w:rPr>
      </w:pPr>
      <w:r>
        <w:rPr>
          <w:bCs/>
          <w:lang w:val="de-DE"/>
        </w:rPr>
        <w:t xml:space="preserve">die häufig auftretenden Nebenwirkungen von </w:t>
      </w:r>
      <w:r w:rsidR="00F80F0E">
        <w:rPr>
          <w:bCs/>
          <w:lang w:val="de-DE"/>
        </w:rPr>
        <w:t>antimikrobiellen Substanzen</w:t>
      </w:r>
      <w:r>
        <w:rPr>
          <w:bCs/>
          <w:lang w:val="de-DE"/>
        </w:rPr>
        <w:t xml:space="preserve"> kennen, einschließlich Allergien, wie </w:t>
      </w:r>
      <w:r w:rsidR="00F80F0E">
        <w:rPr>
          <w:bCs/>
          <w:lang w:val="de-DE"/>
        </w:rPr>
        <w:t>ihr Auftreten</w:t>
      </w:r>
      <w:r>
        <w:rPr>
          <w:bCs/>
          <w:lang w:val="de-DE"/>
        </w:rPr>
        <w:t xml:space="preserve"> zu überwachen </w:t>
      </w:r>
      <w:r w:rsidR="00F80F0E">
        <w:rPr>
          <w:bCs/>
          <w:lang w:val="de-DE"/>
        </w:rPr>
        <w:t xml:space="preserve">ist, </w:t>
      </w:r>
      <w:r>
        <w:rPr>
          <w:bCs/>
          <w:lang w:val="de-DE"/>
        </w:rPr>
        <w:t>und was zu tun ist, wenn der Verdacht aufkommt (z.B. Dokumentation allergischer Reaktion in der Patientenakte, Berichterstattung über Nebenwirkungen)</w:t>
      </w:r>
    </w:p>
    <w:p w14:paraId="3C19CE39" w14:textId="36B61756" w:rsidR="00D81A86" w:rsidRPr="001F23FD" w:rsidRDefault="00D81A86" w:rsidP="00D81A86">
      <w:pPr>
        <w:rPr>
          <w:lang w:val="de-DE"/>
        </w:rPr>
      </w:pPr>
    </w:p>
    <w:p w14:paraId="7C17B8DB" w14:textId="43CDE004" w:rsidR="005C7A73" w:rsidRPr="005C7A73" w:rsidRDefault="005C7A73" w:rsidP="00D81A86">
      <w:pPr>
        <w:numPr>
          <w:ilvl w:val="0"/>
          <w:numId w:val="26"/>
        </w:numPr>
        <w:rPr>
          <w:lang w:val="de-DE"/>
        </w:rPr>
      </w:pPr>
      <w:r w:rsidRPr="005C7A73">
        <w:rPr>
          <w:lang w:val="de-DE"/>
        </w:rPr>
        <w:t xml:space="preserve">Jeder unabhängige Verordner muss die rechtlichen </w:t>
      </w:r>
      <w:r>
        <w:rPr>
          <w:lang w:val="de-DE"/>
        </w:rPr>
        <w:t xml:space="preserve">Vorgaben zur </w:t>
      </w:r>
      <w:r w:rsidR="00F80F0E">
        <w:rPr>
          <w:lang w:val="de-DE"/>
        </w:rPr>
        <w:t>Verschreibung antimikrobieller Substanzen</w:t>
      </w:r>
      <w:r>
        <w:rPr>
          <w:lang w:val="de-DE"/>
        </w:rPr>
        <w:t xml:space="preserve"> im eigenen Land kennen und verstehen und sie bei der Ausstellung der entsprechenden Rezepte einhalten.</w:t>
      </w:r>
    </w:p>
    <w:p w14:paraId="0C90F01F" w14:textId="77777777" w:rsidR="00D81A86" w:rsidRPr="001F23FD" w:rsidRDefault="00D81A86" w:rsidP="00D81A86">
      <w:pPr>
        <w:rPr>
          <w:b/>
          <w:lang w:val="de-DE"/>
        </w:rPr>
      </w:pPr>
    </w:p>
    <w:p w14:paraId="75F224C1" w14:textId="57744802" w:rsidR="00D81A86" w:rsidRDefault="001F62D8" w:rsidP="00D81A86">
      <w:pPr>
        <w:rPr>
          <w:b/>
        </w:rPr>
      </w:pPr>
      <w:r>
        <w:rPr>
          <w:b/>
        </w:rPr>
        <w:t>Abschnitt</w:t>
      </w:r>
      <w:r w:rsidR="00D81A86" w:rsidRPr="00EF35DC">
        <w:rPr>
          <w:b/>
        </w:rPr>
        <w:t xml:space="preserve"> 3: Anti</w:t>
      </w:r>
      <w:r>
        <w:rPr>
          <w:b/>
        </w:rPr>
        <w:t>biotic S</w:t>
      </w:r>
      <w:r w:rsidR="00D81A86" w:rsidRPr="00EF35DC">
        <w:rPr>
          <w:b/>
        </w:rPr>
        <w:t>tewardship</w:t>
      </w:r>
    </w:p>
    <w:p w14:paraId="4994EB1E" w14:textId="77777777" w:rsidR="003C7131" w:rsidRPr="00EF35DC" w:rsidRDefault="003C7131" w:rsidP="00D81A86">
      <w:pPr>
        <w:rPr>
          <w:b/>
        </w:rPr>
      </w:pPr>
    </w:p>
    <w:p w14:paraId="22FB4820" w14:textId="1D0AAD79" w:rsidR="001F62D8" w:rsidRPr="001F62D8" w:rsidRDefault="001F62D8" w:rsidP="00D81A86">
      <w:pPr>
        <w:numPr>
          <w:ilvl w:val="0"/>
          <w:numId w:val="31"/>
        </w:numPr>
        <w:rPr>
          <w:lang w:val="de-DE"/>
        </w:rPr>
      </w:pPr>
      <w:r w:rsidRPr="001F62D8">
        <w:rPr>
          <w:lang w:val="de-DE"/>
        </w:rPr>
        <w:t>Jeder unabhängige Verordner muss wissen,</w:t>
      </w:r>
    </w:p>
    <w:p w14:paraId="53143A69" w14:textId="4433C02F" w:rsidR="00FB1CC8" w:rsidRPr="00FB1CC8" w:rsidRDefault="00FB1CC8" w:rsidP="00D81A86">
      <w:pPr>
        <w:numPr>
          <w:ilvl w:val="1"/>
          <w:numId w:val="31"/>
        </w:numPr>
        <w:rPr>
          <w:lang w:val="de-DE"/>
        </w:rPr>
      </w:pPr>
      <w:r w:rsidRPr="00FB1CC8">
        <w:rPr>
          <w:lang w:val="de-DE"/>
        </w:rPr>
        <w:t>dass Antibiotika verantwortungsbewusst eingesetzt werden müssen, um die Entwicklung und Verbreitung von Antibiotikaresistenzen zu vermeiden</w:t>
      </w:r>
    </w:p>
    <w:p w14:paraId="50540379" w14:textId="77777777" w:rsidR="00354EB4" w:rsidRDefault="00FB1CC8" w:rsidP="00D81A86">
      <w:pPr>
        <w:numPr>
          <w:ilvl w:val="1"/>
          <w:numId w:val="31"/>
        </w:numPr>
        <w:rPr>
          <w:lang w:val="de-DE"/>
        </w:rPr>
      </w:pPr>
      <w:r>
        <w:rPr>
          <w:lang w:val="de-DE"/>
        </w:rPr>
        <w:t xml:space="preserve">dass </w:t>
      </w:r>
      <w:r w:rsidR="005A110C">
        <w:rPr>
          <w:lang w:val="de-DE"/>
        </w:rPr>
        <w:t>die Optimierung des</w:t>
      </w:r>
      <w:r>
        <w:rPr>
          <w:lang w:val="de-DE"/>
        </w:rPr>
        <w:t xml:space="preserve"> Antibiotikaeinsatz</w:t>
      </w:r>
      <w:r w:rsidR="005A110C">
        <w:rPr>
          <w:lang w:val="de-DE"/>
        </w:rPr>
        <w:t>es</w:t>
      </w:r>
      <w:r>
        <w:rPr>
          <w:lang w:val="de-DE"/>
        </w:rPr>
        <w:t xml:space="preserve"> </w:t>
      </w:r>
      <w:r w:rsidR="00CB388C">
        <w:rPr>
          <w:lang w:val="de-DE"/>
        </w:rPr>
        <w:t xml:space="preserve">dazu beiträgt, </w:t>
      </w:r>
      <w:r w:rsidR="005A110C">
        <w:rPr>
          <w:lang w:val="de-DE"/>
        </w:rPr>
        <w:t>häufige</w:t>
      </w:r>
      <w:r>
        <w:rPr>
          <w:lang w:val="de-DE"/>
        </w:rPr>
        <w:t xml:space="preserve"> </w:t>
      </w:r>
    </w:p>
    <w:p w14:paraId="634C343F" w14:textId="77777777" w:rsidR="00354EB4" w:rsidRDefault="00354EB4">
      <w:pPr>
        <w:rPr>
          <w:lang w:val="de-DE"/>
        </w:rPr>
      </w:pPr>
      <w:r>
        <w:rPr>
          <w:lang w:val="de-DE"/>
        </w:rPr>
        <w:br w:type="page"/>
      </w:r>
    </w:p>
    <w:p w14:paraId="453959B8" w14:textId="42160F0D" w:rsidR="00FB1CC8" w:rsidRPr="00FB1CC8" w:rsidRDefault="00FB1CC8" w:rsidP="00D81A86">
      <w:pPr>
        <w:numPr>
          <w:ilvl w:val="1"/>
          <w:numId w:val="31"/>
        </w:numPr>
        <w:rPr>
          <w:lang w:val="de-DE"/>
        </w:rPr>
      </w:pPr>
      <w:r>
        <w:rPr>
          <w:lang w:val="de-DE"/>
        </w:rPr>
        <w:lastRenderedPageBreak/>
        <w:t xml:space="preserve">Nebenwirkungen und behandlungsbedingte negative Begleiterscheinungen </w:t>
      </w:r>
      <w:r w:rsidR="00CB388C">
        <w:rPr>
          <w:lang w:val="de-DE"/>
        </w:rPr>
        <w:t>zu reduzieren</w:t>
      </w:r>
      <w:r>
        <w:rPr>
          <w:lang w:val="de-DE"/>
        </w:rPr>
        <w:t xml:space="preserve"> (z.B. Schädigung der gesunden Flora, was </w:t>
      </w:r>
      <w:r w:rsidR="00CB388C">
        <w:rPr>
          <w:lang w:val="de-DE"/>
        </w:rPr>
        <w:t xml:space="preserve">wiederum </w:t>
      </w:r>
      <w:r>
        <w:rPr>
          <w:lang w:val="de-DE"/>
        </w:rPr>
        <w:t xml:space="preserve">zu </w:t>
      </w:r>
      <w:r w:rsidRPr="00FB1CC8">
        <w:rPr>
          <w:i/>
          <w:lang w:val="de-DE"/>
        </w:rPr>
        <w:t>Clostridium-difficile</w:t>
      </w:r>
      <w:r>
        <w:rPr>
          <w:lang w:val="de-DE"/>
        </w:rPr>
        <w:t>-Infektion</w:t>
      </w:r>
      <w:r w:rsidR="00CB388C">
        <w:rPr>
          <w:lang w:val="de-DE"/>
        </w:rPr>
        <w:t>en oder</w:t>
      </w:r>
      <w:r>
        <w:rPr>
          <w:lang w:val="de-DE"/>
        </w:rPr>
        <w:t xml:space="preserve"> </w:t>
      </w:r>
      <w:r w:rsidRPr="00FB1CC8">
        <w:rPr>
          <w:i/>
          <w:lang w:val="de-DE"/>
        </w:rPr>
        <w:t>Candida</w:t>
      </w:r>
      <w:r w:rsidR="00CB388C">
        <w:rPr>
          <w:i/>
          <w:lang w:val="de-DE"/>
        </w:rPr>
        <w:t xml:space="preserve"> </w:t>
      </w:r>
      <w:r w:rsidRPr="00FB1CC8">
        <w:rPr>
          <w:i/>
          <w:lang w:val="de-DE"/>
        </w:rPr>
        <w:t>spp.</w:t>
      </w:r>
      <w:r>
        <w:rPr>
          <w:lang w:val="de-DE"/>
        </w:rPr>
        <w:t>-Superinfektion</w:t>
      </w:r>
      <w:r w:rsidR="00CB388C">
        <w:rPr>
          <w:lang w:val="de-DE"/>
        </w:rPr>
        <w:t>en</w:t>
      </w:r>
      <w:r>
        <w:rPr>
          <w:lang w:val="de-DE"/>
        </w:rPr>
        <w:t xml:space="preserve"> führen kann)</w:t>
      </w:r>
    </w:p>
    <w:p w14:paraId="3E1C99D0" w14:textId="2DD0B383" w:rsidR="00FB1CC8" w:rsidRDefault="005A110C" w:rsidP="00D81A86">
      <w:pPr>
        <w:numPr>
          <w:ilvl w:val="1"/>
          <w:numId w:val="31"/>
        </w:numPr>
        <w:rPr>
          <w:bCs/>
          <w:lang w:val="de-DE"/>
        </w:rPr>
      </w:pPr>
      <w:r>
        <w:rPr>
          <w:bCs/>
          <w:lang w:val="de-DE"/>
        </w:rPr>
        <w:t>dass es</w:t>
      </w:r>
      <w:r w:rsidR="00FB1CC8" w:rsidRPr="00FB1CC8">
        <w:rPr>
          <w:bCs/>
          <w:lang w:val="de-DE"/>
        </w:rPr>
        <w:t xml:space="preserve"> wichtig ist, den unangemessenen Einsatz </w:t>
      </w:r>
      <w:r>
        <w:rPr>
          <w:bCs/>
          <w:lang w:val="de-DE"/>
        </w:rPr>
        <w:t>antimikrobieller Substanzen</w:t>
      </w:r>
      <w:r w:rsidR="00FB1CC8" w:rsidRPr="00FB1CC8">
        <w:rPr>
          <w:bCs/>
          <w:lang w:val="de-DE"/>
        </w:rPr>
        <w:t xml:space="preserve"> zu vermeiden, insbes</w:t>
      </w:r>
      <w:r w:rsidR="00FB1CC8">
        <w:rPr>
          <w:bCs/>
          <w:lang w:val="de-DE"/>
        </w:rPr>
        <w:t>ondere von Breitbandantibiotika</w:t>
      </w:r>
    </w:p>
    <w:p w14:paraId="5EAD95EB" w14:textId="2568B41A" w:rsidR="00FB1CC8" w:rsidRPr="00FB1CC8" w:rsidRDefault="00FB1CC8" w:rsidP="00D81A86">
      <w:pPr>
        <w:numPr>
          <w:ilvl w:val="1"/>
          <w:numId w:val="31"/>
        </w:numPr>
        <w:rPr>
          <w:bCs/>
          <w:lang w:val="de-DE"/>
        </w:rPr>
      </w:pPr>
      <w:r>
        <w:rPr>
          <w:bCs/>
          <w:lang w:val="de-DE"/>
        </w:rPr>
        <w:t xml:space="preserve">dass die </w:t>
      </w:r>
      <w:r w:rsidR="005A110C">
        <w:rPr>
          <w:bCs/>
          <w:lang w:val="de-DE"/>
        </w:rPr>
        <w:t>ambulante und krankenhausassoziierte Übertragung von Mikroorganismen</w:t>
      </w:r>
      <w:r>
        <w:rPr>
          <w:bCs/>
          <w:lang w:val="de-DE"/>
        </w:rPr>
        <w:t xml:space="preserve"> </w:t>
      </w:r>
      <w:r w:rsidR="005A110C">
        <w:rPr>
          <w:bCs/>
          <w:lang w:val="de-DE"/>
        </w:rPr>
        <w:t>antimikrobielle Resistenzen signifikant amplifizieren kann</w:t>
      </w:r>
    </w:p>
    <w:p w14:paraId="4DD02108" w14:textId="51FD7437" w:rsidR="00D81A86" w:rsidRDefault="00D81A86" w:rsidP="00D81A86">
      <w:pPr>
        <w:rPr>
          <w:lang w:val="de-DE"/>
        </w:rPr>
      </w:pPr>
    </w:p>
    <w:p w14:paraId="6AA70114" w14:textId="2EDD97F4" w:rsidR="00FB1CC8" w:rsidRPr="00FB1CC8" w:rsidRDefault="00FB1CC8" w:rsidP="00D81A86">
      <w:pPr>
        <w:numPr>
          <w:ilvl w:val="0"/>
          <w:numId w:val="31"/>
        </w:numPr>
        <w:rPr>
          <w:lang w:val="de-DE"/>
        </w:rPr>
      </w:pPr>
      <w:r w:rsidRPr="00FB1CC8">
        <w:rPr>
          <w:lang w:val="de-DE"/>
        </w:rPr>
        <w:t xml:space="preserve">Jeder unabhängige Verordner muss die lokalen Antibiotic Stewardship </w:t>
      </w:r>
      <w:r w:rsidR="009D000D">
        <w:rPr>
          <w:lang w:val="de-DE"/>
        </w:rPr>
        <w:t>Grundsätze</w:t>
      </w:r>
      <w:r w:rsidRPr="00FB1CC8">
        <w:rPr>
          <w:lang w:val="de-DE"/>
        </w:rPr>
        <w:t xml:space="preserve"> kennen, die auf nationalen (</w:t>
      </w:r>
      <w:r>
        <w:rPr>
          <w:lang w:val="de-DE"/>
        </w:rPr>
        <w:t>wenn verfügbar, ansonsten</w:t>
      </w:r>
      <w:r w:rsidRPr="00FB1CC8">
        <w:rPr>
          <w:lang w:val="de-DE"/>
        </w:rPr>
        <w:t xml:space="preserve"> </w:t>
      </w:r>
      <w:r>
        <w:rPr>
          <w:lang w:val="de-DE"/>
        </w:rPr>
        <w:t>intern</w:t>
      </w:r>
      <w:r w:rsidR="009D000D">
        <w:rPr>
          <w:lang w:val="de-DE"/>
        </w:rPr>
        <w:t>ationalen) evidenzbasierten Leit</w:t>
      </w:r>
      <w:r>
        <w:rPr>
          <w:lang w:val="de-DE"/>
        </w:rPr>
        <w:t>linien gründen.</w:t>
      </w:r>
    </w:p>
    <w:p w14:paraId="64B1BE82" w14:textId="710CBA6F" w:rsidR="00D81A86" w:rsidRPr="001F23FD" w:rsidRDefault="00D81A86" w:rsidP="00D81A86">
      <w:pPr>
        <w:rPr>
          <w:lang w:val="de-DE"/>
        </w:rPr>
      </w:pPr>
    </w:p>
    <w:p w14:paraId="18EFAFB2" w14:textId="3D726DA6" w:rsidR="00C15758" w:rsidRPr="00C15758" w:rsidRDefault="00C15758" w:rsidP="00D81A86">
      <w:pPr>
        <w:numPr>
          <w:ilvl w:val="0"/>
          <w:numId w:val="31"/>
        </w:numPr>
        <w:rPr>
          <w:lang w:val="de-DE"/>
        </w:rPr>
      </w:pPr>
      <w:r w:rsidRPr="00C15758">
        <w:rPr>
          <w:lang w:val="de-DE"/>
        </w:rPr>
        <w:t xml:space="preserve">Jeder unabhängige Verordner muss die </w:t>
      </w:r>
      <w:r>
        <w:rPr>
          <w:lang w:val="de-DE"/>
        </w:rPr>
        <w:t>lokalen und nationalen Maßnahmen hinsichtlich des Qualitäts</w:t>
      </w:r>
      <w:r w:rsidRPr="00C15758">
        <w:rPr>
          <w:lang w:val="de-DE"/>
        </w:rPr>
        <w:t>ma</w:t>
      </w:r>
      <w:r>
        <w:rPr>
          <w:lang w:val="de-DE"/>
        </w:rPr>
        <w:t>nagement</w:t>
      </w:r>
      <w:r w:rsidRPr="00C15758">
        <w:rPr>
          <w:lang w:val="de-DE"/>
        </w:rPr>
        <w:t xml:space="preserve"> </w:t>
      </w:r>
      <w:r>
        <w:rPr>
          <w:lang w:val="de-DE"/>
        </w:rPr>
        <w:t xml:space="preserve">zu Antibiotikaverschreibungen </w:t>
      </w:r>
      <w:r w:rsidRPr="00C15758">
        <w:rPr>
          <w:lang w:val="de-DE"/>
        </w:rPr>
        <w:t xml:space="preserve">kennen und </w:t>
      </w:r>
      <w:r w:rsidR="009D000D">
        <w:rPr>
          <w:lang w:val="de-DE"/>
        </w:rPr>
        <w:t>anwenden</w:t>
      </w:r>
      <w:r>
        <w:rPr>
          <w:lang w:val="de-DE"/>
        </w:rPr>
        <w:t xml:space="preserve"> (z.</w:t>
      </w:r>
      <w:r w:rsidR="009D000D">
        <w:rPr>
          <w:lang w:val="de-DE"/>
        </w:rPr>
        <w:t>B. Einhaltung der geltenden Leit</w:t>
      </w:r>
      <w:r>
        <w:rPr>
          <w:lang w:val="de-DE"/>
        </w:rPr>
        <w:t xml:space="preserve">linien, </w:t>
      </w:r>
      <w:r w:rsidR="00CB388C">
        <w:rPr>
          <w:lang w:val="de-DE"/>
        </w:rPr>
        <w:t>Dokumentation von unerwünschten Arzneimittelwirkungen</w:t>
      </w:r>
      <w:r>
        <w:rPr>
          <w:lang w:val="de-DE"/>
        </w:rPr>
        <w:t>, Kontrolle der Antibiotikatherapie nach 48 bis 72 Stunden bei stationären Patienten).</w:t>
      </w:r>
    </w:p>
    <w:p w14:paraId="5267D17C" w14:textId="78B83DFF" w:rsidR="00D81A86" w:rsidRPr="001F23FD" w:rsidRDefault="00D81A86" w:rsidP="00D81A86">
      <w:pPr>
        <w:rPr>
          <w:lang w:val="de-DE"/>
        </w:rPr>
      </w:pPr>
    </w:p>
    <w:p w14:paraId="073087FF" w14:textId="57EBE37B" w:rsidR="00C15758" w:rsidRPr="00E4045A" w:rsidRDefault="00E4045A" w:rsidP="00D81A86">
      <w:pPr>
        <w:numPr>
          <w:ilvl w:val="0"/>
          <w:numId w:val="31"/>
        </w:numPr>
        <w:rPr>
          <w:lang w:val="de-DE"/>
        </w:rPr>
      </w:pPr>
      <w:r w:rsidRPr="00E4045A">
        <w:rPr>
          <w:lang w:val="de-DE"/>
        </w:rPr>
        <w:t>Jeder unabhängige Verordner muss wissen, wie er mit Patienten und deren Betreuer</w:t>
      </w:r>
      <w:r w:rsidR="009D000D">
        <w:rPr>
          <w:lang w:val="de-DE"/>
        </w:rPr>
        <w:t>n</w:t>
      </w:r>
      <w:r>
        <w:rPr>
          <w:lang w:val="de-DE"/>
        </w:rPr>
        <w:t>, Pflegepersonal, Apothekern und anderen Beteiligten im Gesundheitswesen kommuniziert,</w:t>
      </w:r>
    </w:p>
    <w:p w14:paraId="0AA1E249" w14:textId="7B87B370" w:rsidR="00E4045A" w:rsidRPr="00E4045A" w:rsidRDefault="00E4045A" w:rsidP="00D81A86">
      <w:pPr>
        <w:numPr>
          <w:ilvl w:val="1"/>
          <w:numId w:val="31"/>
        </w:numPr>
        <w:rPr>
          <w:lang w:val="de-DE"/>
        </w:rPr>
      </w:pPr>
      <w:r w:rsidRPr="00E4045A">
        <w:rPr>
          <w:lang w:val="de-DE"/>
        </w:rPr>
        <w:t xml:space="preserve">wenn eine </w:t>
      </w:r>
      <w:r w:rsidR="009D000D">
        <w:rPr>
          <w:lang w:val="de-DE"/>
        </w:rPr>
        <w:t xml:space="preserve">antimikrobielle Therapie </w:t>
      </w:r>
      <w:r w:rsidRPr="00E4045A">
        <w:rPr>
          <w:lang w:val="de-DE"/>
        </w:rPr>
        <w:t>nicht angezeigt ist</w:t>
      </w:r>
    </w:p>
    <w:p w14:paraId="79475110" w14:textId="77777777" w:rsidR="00E4045A" w:rsidRPr="00E4045A" w:rsidRDefault="00E4045A" w:rsidP="00D81A86">
      <w:pPr>
        <w:numPr>
          <w:ilvl w:val="1"/>
          <w:numId w:val="31"/>
        </w:numPr>
        <w:rPr>
          <w:lang w:val="de-DE"/>
        </w:rPr>
      </w:pPr>
      <w:r w:rsidRPr="00E4045A">
        <w:rPr>
          <w:lang w:val="de-DE"/>
        </w:rPr>
        <w:t>dass Dauer und Häufigkeit der Verabreichung der verschriebenen Antibiotika einzuhalten sind</w:t>
      </w:r>
    </w:p>
    <w:p w14:paraId="206995BF" w14:textId="20BB724C" w:rsidR="00D81A86" w:rsidRPr="001F23FD" w:rsidRDefault="00D81A86" w:rsidP="00E4045A">
      <w:pPr>
        <w:ind w:left="792"/>
        <w:rPr>
          <w:lang w:val="de-DE"/>
        </w:rPr>
      </w:pPr>
    </w:p>
    <w:p w14:paraId="521C9684" w14:textId="30EAE9F5" w:rsidR="00E4045A" w:rsidRPr="00073C62" w:rsidRDefault="00E4045A" w:rsidP="00D81A86">
      <w:pPr>
        <w:pStyle w:val="Listenabsatz"/>
        <w:numPr>
          <w:ilvl w:val="0"/>
          <w:numId w:val="31"/>
        </w:numPr>
        <w:rPr>
          <w:lang w:val="de-DE"/>
        </w:rPr>
      </w:pPr>
      <w:r w:rsidRPr="00073C62">
        <w:rPr>
          <w:lang w:val="de-DE"/>
        </w:rPr>
        <w:t xml:space="preserve">Jeder unabhängige Verordner </w:t>
      </w:r>
      <w:r w:rsidR="00073C62" w:rsidRPr="00073C62">
        <w:rPr>
          <w:lang w:val="de-DE"/>
        </w:rPr>
        <w:t>muss anerkennen, dass es in seiner Versorgungspflicht liegt, mit anderen, besser au</w:t>
      </w:r>
      <w:r w:rsidR="00073C62">
        <w:rPr>
          <w:lang w:val="de-DE"/>
        </w:rPr>
        <w:t>sgewiesenen Kollegen zusammenzu</w:t>
      </w:r>
      <w:r w:rsidR="00073C62" w:rsidRPr="00073C62">
        <w:rPr>
          <w:lang w:val="de-DE"/>
        </w:rPr>
        <w:t xml:space="preserve">arbeiten, wie z.B. </w:t>
      </w:r>
      <w:r w:rsidR="00073C62">
        <w:rPr>
          <w:lang w:val="de-DE"/>
        </w:rPr>
        <w:t>einem Antibiotic Stewardship Team, wenn eine solche Expertise erforderlich ist.</w:t>
      </w:r>
    </w:p>
    <w:p w14:paraId="3B671324" w14:textId="3B96CFB9" w:rsidR="0031562C" w:rsidRDefault="0031562C" w:rsidP="00D81A86">
      <w:pPr>
        <w:rPr>
          <w:lang w:val="de-DE"/>
        </w:rPr>
      </w:pPr>
    </w:p>
    <w:p w14:paraId="54A499BC" w14:textId="77777777" w:rsidR="009D000D" w:rsidRPr="00D76206" w:rsidRDefault="009D000D" w:rsidP="009D000D">
      <w:pPr>
        <w:rPr>
          <w:lang w:val="de-DE"/>
        </w:rPr>
      </w:pPr>
    </w:p>
    <w:p w14:paraId="1B7A62DD" w14:textId="77777777" w:rsidR="009D000D" w:rsidRPr="00D76206" w:rsidRDefault="009D000D" w:rsidP="00D81A86">
      <w:pPr>
        <w:rPr>
          <w:lang w:val="de-DE"/>
        </w:rPr>
      </w:pPr>
    </w:p>
    <w:sectPr w:rsidR="009D000D" w:rsidRPr="00D76206" w:rsidSect="00354EB4">
      <w:headerReference w:type="default" r:id="rId7"/>
      <w:footerReference w:type="even" r:id="rId8"/>
      <w:footerReference w:type="default" r:id="rId9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A533" w14:textId="77777777" w:rsidR="0082217A" w:rsidRDefault="0082217A" w:rsidP="003C1ED1">
      <w:r>
        <w:separator/>
      </w:r>
    </w:p>
  </w:endnote>
  <w:endnote w:type="continuationSeparator" w:id="0">
    <w:p w14:paraId="0C4DDA8C" w14:textId="77777777" w:rsidR="0082217A" w:rsidRDefault="0082217A" w:rsidP="003C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]lÀ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C3CF" w14:textId="77777777" w:rsidR="009C345E" w:rsidRDefault="009C345E" w:rsidP="006B22D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56E813" w14:textId="77777777" w:rsidR="009C345E" w:rsidRDefault="009C345E" w:rsidP="009C345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A2C9" w14:textId="77777777" w:rsidR="009C345E" w:rsidRDefault="009C345E" w:rsidP="006B22D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4EB4">
      <w:rPr>
        <w:rStyle w:val="Seitenzahl"/>
        <w:noProof/>
      </w:rPr>
      <w:t>1</w:t>
    </w:r>
    <w:r>
      <w:rPr>
        <w:rStyle w:val="Seitenzahl"/>
      </w:rPr>
      <w:fldChar w:fldCharType="end"/>
    </w:r>
  </w:p>
  <w:p w14:paraId="1E29C699" w14:textId="77777777" w:rsidR="009C345E" w:rsidRDefault="009C345E" w:rsidP="009C345E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79A5" w14:textId="77777777" w:rsidR="0082217A" w:rsidRDefault="0082217A" w:rsidP="003C1ED1">
      <w:r>
        <w:separator/>
      </w:r>
    </w:p>
  </w:footnote>
  <w:footnote w:type="continuationSeparator" w:id="0">
    <w:p w14:paraId="22844C5D" w14:textId="77777777" w:rsidR="0082217A" w:rsidRDefault="0082217A" w:rsidP="003C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ECD7" w14:textId="1A0AEB7D" w:rsidR="007C4E94" w:rsidRDefault="007C4E94" w:rsidP="00C4291A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190302D" wp14:editId="4D5C1EDE">
          <wp:simplePos x="0" y="0"/>
          <wp:positionH relativeFrom="column">
            <wp:posOffset>-13012</wp:posOffset>
          </wp:positionH>
          <wp:positionV relativeFrom="paragraph">
            <wp:posOffset>78455</wp:posOffset>
          </wp:positionV>
          <wp:extent cx="2540000" cy="3683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MID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051B6" w14:textId="57C67ECD" w:rsidR="00C4291A" w:rsidRDefault="00C4291A" w:rsidP="00C4291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6BE"/>
    <w:multiLevelType w:val="hybridMultilevel"/>
    <w:tmpl w:val="8F8A0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1A9"/>
    <w:multiLevelType w:val="multilevel"/>
    <w:tmpl w:val="AE848B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05BE4"/>
    <w:multiLevelType w:val="hybridMultilevel"/>
    <w:tmpl w:val="FE0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492"/>
    <w:multiLevelType w:val="hybridMultilevel"/>
    <w:tmpl w:val="CA90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65D3"/>
    <w:multiLevelType w:val="hybridMultilevel"/>
    <w:tmpl w:val="52E2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46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4D6F11"/>
    <w:multiLevelType w:val="hybridMultilevel"/>
    <w:tmpl w:val="33547D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45F1"/>
    <w:multiLevelType w:val="hybridMultilevel"/>
    <w:tmpl w:val="0526C4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3FDF"/>
    <w:multiLevelType w:val="hybridMultilevel"/>
    <w:tmpl w:val="2A207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A34D4"/>
    <w:multiLevelType w:val="hybridMultilevel"/>
    <w:tmpl w:val="6B9A5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26DD"/>
    <w:multiLevelType w:val="hybridMultilevel"/>
    <w:tmpl w:val="39E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50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4A075B"/>
    <w:multiLevelType w:val="hybridMultilevel"/>
    <w:tmpl w:val="CAE8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376"/>
    <w:multiLevelType w:val="hybridMultilevel"/>
    <w:tmpl w:val="410617AE"/>
    <w:lvl w:ilvl="0" w:tplc="8826A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518B2"/>
    <w:multiLevelType w:val="hybridMultilevel"/>
    <w:tmpl w:val="282C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36939"/>
    <w:multiLevelType w:val="hybridMultilevel"/>
    <w:tmpl w:val="DB42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7382"/>
    <w:multiLevelType w:val="hybridMultilevel"/>
    <w:tmpl w:val="42B8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62D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0909E5"/>
    <w:multiLevelType w:val="hybridMultilevel"/>
    <w:tmpl w:val="6FB6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93B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9B4F87"/>
    <w:multiLevelType w:val="hybridMultilevel"/>
    <w:tmpl w:val="545E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92C6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0094D52"/>
    <w:multiLevelType w:val="multilevel"/>
    <w:tmpl w:val="858CD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de-D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6717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E427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6F0B71"/>
    <w:multiLevelType w:val="hybridMultilevel"/>
    <w:tmpl w:val="63EC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F7357"/>
    <w:multiLevelType w:val="hybridMultilevel"/>
    <w:tmpl w:val="436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02139"/>
    <w:multiLevelType w:val="hybridMultilevel"/>
    <w:tmpl w:val="9324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A0ED3"/>
    <w:multiLevelType w:val="hybridMultilevel"/>
    <w:tmpl w:val="EAF2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250B3"/>
    <w:multiLevelType w:val="multilevel"/>
    <w:tmpl w:val="AE848B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FB0565"/>
    <w:multiLevelType w:val="multilevel"/>
    <w:tmpl w:val="AE848B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  <w:num w:numId="13">
    <w:abstractNumId w:val="20"/>
  </w:num>
  <w:num w:numId="14">
    <w:abstractNumId w:val="25"/>
  </w:num>
  <w:num w:numId="15">
    <w:abstractNumId w:val="16"/>
  </w:num>
  <w:num w:numId="16">
    <w:abstractNumId w:val="28"/>
  </w:num>
  <w:num w:numId="17">
    <w:abstractNumId w:val="18"/>
  </w:num>
  <w:num w:numId="18">
    <w:abstractNumId w:val="27"/>
  </w:num>
  <w:num w:numId="19">
    <w:abstractNumId w:val="26"/>
  </w:num>
  <w:num w:numId="20">
    <w:abstractNumId w:val="14"/>
  </w:num>
  <w:num w:numId="21">
    <w:abstractNumId w:val="11"/>
  </w:num>
  <w:num w:numId="22">
    <w:abstractNumId w:val="19"/>
  </w:num>
  <w:num w:numId="23">
    <w:abstractNumId w:val="5"/>
  </w:num>
  <w:num w:numId="24">
    <w:abstractNumId w:val="22"/>
  </w:num>
  <w:num w:numId="25">
    <w:abstractNumId w:val="24"/>
  </w:num>
  <w:num w:numId="26">
    <w:abstractNumId w:val="30"/>
  </w:num>
  <w:num w:numId="27">
    <w:abstractNumId w:val="21"/>
  </w:num>
  <w:num w:numId="28">
    <w:abstractNumId w:val="17"/>
  </w:num>
  <w:num w:numId="29">
    <w:abstractNumId w:val="29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7B"/>
    <w:rsid w:val="00002DAC"/>
    <w:rsid w:val="00005C0D"/>
    <w:rsid w:val="00010ABC"/>
    <w:rsid w:val="00010BB1"/>
    <w:rsid w:val="000158EC"/>
    <w:rsid w:val="000302C9"/>
    <w:rsid w:val="00031F95"/>
    <w:rsid w:val="0004462D"/>
    <w:rsid w:val="00056CCB"/>
    <w:rsid w:val="000637B0"/>
    <w:rsid w:val="0006686A"/>
    <w:rsid w:val="00067C4B"/>
    <w:rsid w:val="00073C62"/>
    <w:rsid w:val="00082018"/>
    <w:rsid w:val="00082329"/>
    <w:rsid w:val="00084367"/>
    <w:rsid w:val="0008582F"/>
    <w:rsid w:val="000A3330"/>
    <w:rsid w:val="000A54F8"/>
    <w:rsid w:val="000A5C28"/>
    <w:rsid w:val="000B7622"/>
    <w:rsid w:val="000C28E3"/>
    <w:rsid w:val="000C7696"/>
    <w:rsid w:val="000D4488"/>
    <w:rsid w:val="000D5B34"/>
    <w:rsid w:val="000E63FF"/>
    <w:rsid w:val="0010769D"/>
    <w:rsid w:val="001106B6"/>
    <w:rsid w:val="001113F8"/>
    <w:rsid w:val="00111F9E"/>
    <w:rsid w:val="0012441D"/>
    <w:rsid w:val="0012618C"/>
    <w:rsid w:val="00132FBC"/>
    <w:rsid w:val="001509FA"/>
    <w:rsid w:val="00152724"/>
    <w:rsid w:val="001550FA"/>
    <w:rsid w:val="00155802"/>
    <w:rsid w:val="001559D8"/>
    <w:rsid w:val="001650E1"/>
    <w:rsid w:val="00166678"/>
    <w:rsid w:val="00170BE3"/>
    <w:rsid w:val="001923ED"/>
    <w:rsid w:val="00193522"/>
    <w:rsid w:val="00195F17"/>
    <w:rsid w:val="00196DE7"/>
    <w:rsid w:val="001A0405"/>
    <w:rsid w:val="001D3A5F"/>
    <w:rsid w:val="001D6B44"/>
    <w:rsid w:val="001E1931"/>
    <w:rsid w:val="001E3179"/>
    <w:rsid w:val="001F23FD"/>
    <w:rsid w:val="001F62D8"/>
    <w:rsid w:val="0020069C"/>
    <w:rsid w:val="00217B00"/>
    <w:rsid w:val="002352A8"/>
    <w:rsid w:val="002358EA"/>
    <w:rsid w:val="00235B82"/>
    <w:rsid w:val="002376A4"/>
    <w:rsid w:val="00244C8B"/>
    <w:rsid w:val="0024690D"/>
    <w:rsid w:val="0025140D"/>
    <w:rsid w:val="0026273A"/>
    <w:rsid w:val="00265EB6"/>
    <w:rsid w:val="00266E57"/>
    <w:rsid w:val="00270ED0"/>
    <w:rsid w:val="00273623"/>
    <w:rsid w:val="00273F8C"/>
    <w:rsid w:val="0027598A"/>
    <w:rsid w:val="00286BD0"/>
    <w:rsid w:val="002951C1"/>
    <w:rsid w:val="002A4B47"/>
    <w:rsid w:val="002C78F9"/>
    <w:rsid w:val="002E62CB"/>
    <w:rsid w:val="002E6689"/>
    <w:rsid w:val="002F420D"/>
    <w:rsid w:val="00305C07"/>
    <w:rsid w:val="0031562C"/>
    <w:rsid w:val="00322361"/>
    <w:rsid w:val="00322F44"/>
    <w:rsid w:val="00325C36"/>
    <w:rsid w:val="00336402"/>
    <w:rsid w:val="003414AA"/>
    <w:rsid w:val="00345429"/>
    <w:rsid w:val="00346952"/>
    <w:rsid w:val="003505E2"/>
    <w:rsid w:val="00354EB4"/>
    <w:rsid w:val="00355BFB"/>
    <w:rsid w:val="0037259E"/>
    <w:rsid w:val="00377FB7"/>
    <w:rsid w:val="0038392B"/>
    <w:rsid w:val="00387DAD"/>
    <w:rsid w:val="0039209B"/>
    <w:rsid w:val="00392A92"/>
    <w:rsid w:val="003A56D6"/>
    <w:rsid w:val="003C0347"/>
    <w:rsid w:val="003C1ED1"/>
    <w:rsid w:val="003C4476"/>
    <w:rsid w:val="003C50F7"/>
    <w:rsid w:val="003C7131"/>
    <w:rsid w:val="003C7166"/>
    <w:rsid w:val="003E6137"/>
    <w:rsid w:val="003E64D3"/>
    <w:rsid w:val="003E6E41"/>
    <w:rsid w:val="003F2962"/>
    <w:rsid w:val="003F3B05"/>
    <w:rsid w:val="003F5185"/>
    <w:rsid w:val="00403FC3"/>
    <w:rsid w:val="0040468F"/>
    <w:rsid w:val="00411BAD"/>
    <w:rsid w:val="00412177"/>
    <w:rsid w:val="00414C2C"/>
    <w:rsid w:val="00417200"/>
    <w:rsid w:val="0042387B"/>
    <w:rsid w:val="004327BF"/>
    <w:rsid w:val="00437F94"/>
    <w:rsid w:val="0045172B"/>
    <w:rsid w:val="00453F83"/>
    <w:rsid w:val="00463CB3"/>
    <w:rsid w:val="004756B6"/>
    <w:rsid w:val="00475CEB"/>
    <w:rsid w:val="004805EF"/>
    <w:rsid w:val="00487EAA"/>
    <w:rsid w:val="0049171B"/>
    <w:rsid w:val="00494989"/>
    <w:rsid w:val="004A1549"/>
    <w:rsid w:val="004B71DD"/>
    <w:rsid w:val="004D22A4"/>
    <w:rsid w:val="004D2608"/>
    <w:rsid w:val="004D27D3"/>
    <w:rsid w:val="004D4921"/>
    <w:rsid w:val="004D69F4"/>
    <w:rsid w:val="004E422D"/>
    <w:rsid w:val="004E44FF"/>
    <w:rsid w:val="004F1FB7"/>
    <w:rsid w:val="004F3240"/>
    <w:rsid w:val="004F6216"/>
    <w:rsid w:val="004F6D8C"/>
    <w:rsid w:val="00500A56"/>
    <w:rsid w:val="00504A24"/>
    <w:rsid w:val="00512BC9"/>
    <w:rsid w:val="00513161"/>
    <w:rsid w:val="00513677"/>
    <w:rsid w:val="00541EF1"/>
    <w:rsid w:val="00543511"/>
    <w:rsid w:val="00543622"/>
    <w:rsid w:val="00551BA9"/>
    <w:rsid w:val="00554870"/>
    <w:rsid w:val="00556332"/>
    <w:rsid w:val="00566C08"/>
    <w:rsid w:val="005709E0"/>
    <w:rsid w:val="0057147F"/>
    <w:rsid w:val="00584D43"/>
    <w:rsid w:val="005931B3"/>
    <w:rsid w:val="00593A28"/>
    <w:rsid w:val="005A110C"/>
    <w:rsid w:val="005B1A5C"/>
    <w:rsid w:val="005B1BC1"/>
    <w:rsid w:val="005B30AE"/>
    <w:rsid w:val="005C1B29"/>
    <w:rsid w:val="005C7A73"/>
    <w:rsid w:val="005E1891"/>
    <w:rsid w:val="005E1EE5"/>
    <w:rsid w:val="005E4535"/>
    <w:rsid w:val="0061443C"/>
    <w:rsid w:val="00622E1F"/>
    <w:rsid w:val="00623B43"/>
    <w:rsid w:val="006247B2"/>
    <w:rsid w:val="0062526E"/>
    <w:rsid w:val="0064073C"/>
    <w:rsid w:val="006437FD"/>
    <w:rsid w:val="00655B55"/>
    <w:rsid w:val="00664FA6"/>
    <w:rsid w:val="00674D8D"/>
    <w:rsid w:val="006779E8"/>
    <w:rsid w:val="00684747"/>
    <w:rsid w:val="00684827"/>
    <w:rsid w:val="0068501F"/>
    <w:rsid w:val="006856A7"/>
    <w:rsid w:val="006865FB"/>
    <w:rsid w:val="00693C78"/>
    <w:rsid w:val="006968AE"/>
    <w:rsid w:val="00697736"/>
    <w:rsid w:val="006A04C3"/>
    <w:rsid w:val="006A76F4"/>
    <w:rsid w:val="006B0638"/>
    <w:rsid w:val="006B22DB"/>
    <w:rsid w:val="006C1895"/>
    <w:rsid w:val="006D3B30"/>
    <w:rsid w:val="006D5C12"/>
    <w:rsid w:val="006E07A7"/>
    <w:rsid w:val="006E39E1"/>
    <w:rsid w:val="006E5E5D"/>
    <w:rsid w:val="006F007E"/>
    <w:rsid w:val="006F06E9"/>
    <w:rsid w:val="006F296A"/>
    <w:rsid w:val="007035B4"/>
    <w:rsid w:val="00703756"/>
    <w:rsid w:val="00712BD9"/>
    <w:rsid w:val="00712E12"/>
    <w:rsid w:val="00715BD1"/>
    <w:rsid w:val="00734179"/>
    <w:rsid w:val="00736D92"/>
    <w:rsid w:val="00747B0B"/>
    <w:rsid w:val="00750284"/>
    <w:rsid w:val="00750ED5"/>
    <w:rsid w:val="00757D5B"/>
    <w:rsid w:val="00761761"/>
    <w:rsid w:val="00766C94"/>
    <w:rsid w:val="007727E8"/>
    <w:rsid w:val="00785CF9"/>
    <w:rsid w:val="007866D5"/>
    <w:rsid w:val="007908A2"/>
    <w:rsid w:val="00791DFB"/>
    <w:rsid w:val="00793B4F"/>
    <w:rsid w:val="007A324B"/>
    <w:rsid w:val="007A5432"/>
    <w:rsid w:val="007B3804"/>
    <w:rsid w:val="007C09D1"/>
    <w:rsid w:val="007C4E94"/>
    <w:rsid w:val="007C7DB4"/>
    <w:rsid w:val="007E016C"/>
    <w:rsid w:val="007E66CD"/>
    <w:rsid w:val="007E6F23"/>
    <w:rsid w:val="007F7CC0"/>
    <w:rsid w:val="007F7CCE"/>
    <w:rsid w:val="00805B42"/>
    <w:rsid w:val="00812C75"/>
    <w:rsid w:val="008149EA"/>
    <w:rsid w:val="008169A5"/>
    <w:rsid w:val="0082217A"/>
    <w:rsid w:val="00824D06"/>
    <w:rsid w:val="00837F24"/>
    <w:rsid w:val="00846163"/>
    <w:rsid w:val="00847C37"/>
    <w:rsid w:val="008509BD"/>
    <w:rsid w:val="00861992"/>
    <w:rsid w:val="008656F3"/>
    <w:rsid w:val="0086767A"/>
    <w:rsid w:val="00882A68"/>
    <w:rsid w:val="0089363B"/>
    <w:rsid w:val="00893CBA"/>
    <w:rsid w:val="00894A7B"/>
    <w:rsid w:val="00896D19"/>
    <w:rsid w:val="008973AA"/>
    <w:rsid w:val="008A4AD1"/>
    <w:rsid w:val="008A65F1"/>
    <w:rsid w:val="008B0046"/>
    <w:rsid w:val="008B3F5B"/>
    <w:rsid w:val="008B5B84"/>
    <w:rsid w:val="008B5E6F"/>
    <w:rsid w:val="008C585B"/>
    <w:rsid w:val="008D3D40"/>
    <w:rsid w:val="008E43D7"/>
    <w:rsid w:val="008E503E"/>
    <w:rsid w:val="008F4A7E"/>
    <w:rsid w:val="008F5507"/>
    <w:rsid w:val="009077EA"/>
    <w:rsid w:val="00910957"/>
    <w:rsid w:val="00912C70"/>
    <w:rsid w:val="00926EBE"/>
    <w:rsid w:val="009369B2"/>
    <w:rsid w:val="0095525A"/>
    <w:rsid w:val="00955FE2"/>
    <w:rsid w:val="009571F2"/>
    <w:rsid w:val="00961E83"/>
    <w:rsid w:val="009638F1"/>
    <w:rsid w:val="0096411E"/>
    <w:rsid w:val="00973258"/>
    <w:rsid w:val="00973A6D"/>
    <w:rsid w:val="00977066"/>
    <w:rsid w:val="00985B57"/>
    <w:rsid w:val="00987CE3"/>
    <w:rsid w:val="009949A5"/>
    <w:rsid w:val="0099594C"/>
    <w:rsid w:val="00997BF1"/>
    <w:rsid w:val="009A2059"/>
    <w:rsid w:val="009B03B9"/>
    <w:rsid w:val="009B15F2"/>
    <w:rsid w:val="009B3953"/>
    <w:rsid w:val="009B6D19"/>
    <w:rsid w:val="009C0A69"/>
    <w:rsid w:val="009C1E36"/>
    <w:rsid w:val="009C345E"/>
    <w:rsid w:val="009D000D"/>
    <w:rsid w:val="009D296C"/>
    <w:rsid w:val="009D5242"/>
    <w:rsid w:val="009D6781"/>
    <w:rsid w:val="009D6E45"/>
    <w:rsid w:val="009F0776"/>
    <w:rsid w:val="009F38F2"/>
    <w:rsid w:val="009F4800"/>
    <w:rsid w:val="009F794D"/>
    <w:rsid w:val="00A301A8"/>
    <w:rsid w:val="00A32DE3"/>
    <w:rsid w:val="00A3684D"/>
    <w:rsid w:val="00A427AC"/>
    <w:rsid w:val="00A43663"/>
    <w:rsid w:val="00A5213B"/>
    <w:rsid w:val="00A571E9"/>
    <w:rsid w:val="00A6432E"/>
    <w:rsid w:val="00A77FDD"/>
    <w:rsid w:val="00A803F7"/>
    <w:rsid w:val="00A82B93"/>
    <w:rsid w:val="00A86377"/>
    <w:rsid w:val="00A96C3D"/>
    <w:rsid w:val="00AA5A1A"/>
    <w:rsid w:val="00AB54EB"/>
    <w:rsid w:val="00AB7601"/>
    <w:rsid w:val="00AD087E"/>
    <w:rsid w:val="00AD2176"/>
    <w:rsid w:val="00AD29E9"/>
    <w:rsid w:val="00AD6188"/>
    <w:rsid w:val="00AE1764"/>
    <w:rsid w:val="00AE1F7A"/>
    <w:rsid w:val="00AE6BB5"/>
    <w:rsid w:val="00AF69FD"/>
    <w:rsid w:val="00B0028F"/>
    <w:rsid w:val="00B00B01"/>
    <w:rsid w:val="00B01E46"/>
    <w:rsid w:val="00B03293"/>
    <w:rsid w:val="00B0616D"/>
    <w:rsid w:val="00B139DC"/>
    <w:rsid w:val="00B278FA"/>
    <w:rsid w:val="00B406BA"/>
    <w:rsid w:val="00B44576"/>
    <w:rsid w:val="00B5347B"/>
    <w:rsid w:val="00B6641C"/>
    <w:rsid w:val="00B77931"/>
    <w:rsid w:val="00B92D2E"/>
    <w:rsid w:val="00BB397C"/>
    <w:rsid w:val="00BB4A0F"/>
    <w:rsid w:val="00BC2F69"/>
    <w:rsid w:val="00BD762D"/>
    <w:rsid w:val="00BE2EF8"/>
    <w:rsid w:val="00BE2F97"/>
    <w:rsid w:val="00BE61AC"/>
    <w:rsid w:val="00BF52DA"/>
    <w:rsid w:val="00C10AB7"/>
    <w:rsid w:val="00C15758"/>
    <w:rsid w:val="00C21D72"/>
    <w:rsid w:val="00C25AF3"/>
    <w:rsid w:val="00C27207"/>
    <w:rsid w:val="00C27C5F"/>
    <w:rsid w:val="00C354AD"/>
    <w:rsid w:val="00C40099"/>
    <w:rsid w:val="00C4206A"/>
    <w:rsid w:val="00C4291A"/>
    <w:rsid w:val="00C5604A"/>
    <w:rsid w:val="00C74304"/>
    <w:rsid w:val="00C74507"/>
    <w:rsid w:val="00C76553"/>
    <w:rsid w:val="00C96171"/>
    <w:rsid w:val="00C9758B"/>
    <w:rsid w:val="00C97FE7"/>
    <w:rsid w:val="00CA2111"/>
    <w:rsid w:val="00CA473C"/>
    <w:rsid w:val="00CA4F8A"/>
    <w:rsid w:val="00CB0157"/>
    <w:rsid w:val="00CB148C"/>
    <w:rsid w:val="00CB2408"/>
    <w:rsid w:val="00CB388C"/>
    <w:rsid w:val="00CC2027"/>
    <w:rsid w:val="00CC4D5F"/>
    <w:rsid w:val="00CD1D99"/>
    <w:rsid w:val="00CE16E4"/>
    <w:rsid w:val="00CF1DE9"/>
    <w:rsid w:val="00CF2798"/>
    <w:rsid w:val="00CF5068"/>
    <w:rsid w:val="00D03B0D"/>
    <w:rsid w:val="00D0416F"/>
    <w:rsid w:val="00D11C24"/>
    <w:rsid w:val="00D127BA"/>
    <w:rsid w:val="00D15D71"/>
    <w:rsid w:val="00D277A5"/>
    <w:rsid w:val="00D31180"/>
    <w:rsid w:val="00D37222"/>
    <w:rsid w:val="00D423D8"/>
    <w:rsid w:val="00D42B11"/>
    <w:rsid w:val="00D46F15"/>
    <w:rsid w:val="00D51DDB"/>
    <w:rsid w:val="00D51E5B"/>
    <w:rsid w:val="00D632D0"/>
    <w:rsid w:val="00D66809"/>
    <w:rsid w:val="00D671E5"/>
    <w:rsid w:val="00D72619"/>
    <w:rsid w:val="00D7315E"/>
    <w:rsid w:val="00D76206"/>
    <w:rsid w:val="00D81A86"/>
    <w:rsid w:val="00D82188"/>
    <w:rsid w:val="00D93430"/>
    <w:rsid w:val="00D94B80"/>
    <w:rsid w:val="00DA07DF"/>
    <w:rsid w:val="00DA288B"/>
    <w:rsid w:val="00DA352A"/>
    <w:rsid w:val="00DA5A4A"/>
    <w:rsid w:val="00DB14C5"/>
    <w:rsid w:val="00DB3BBB"/>
    <w:rsid w:val="00DC0EF0"/>
    <w:rsid w:val="00DC5C2A"/>
    <w:rsid w:val="00DD0BB7"/>
    <w:rsid w:val="00DD5726"/>
    <w:rsid w:val="00DE0309"/>
    <w:rsid w:val="00DE3DCF"/>
    <w:rsid w:val="00DE5F0D"/>
    <w:rsid w:val="00DF3F5F"/>
    <w:rsid w:val="00DF6497"/>
    <w:rsid w:val="00E00DDE"/>
    <w:rsid w:val="00E120CF"/>
    <w:rsid w:val="00E12264"/>
    <w:rsid w:val="00E26953"/>
    <w:rsid w:val="00E314E6"/>
    <w:rsid w:val="00E4045A"/>
    <w:rsid w:val="00E46D0E"/>
    <w:rsid w:val="00E5493A"/>
    <w:rsid w:val="00E62BA2"/>
    <w:rsid w:val="00E65ED9"/>
    <w:rsid w:val="00E679B5"/>
    <w:rsid w:val="00E9593C"/>
    <w:rsid w:val="00EA7DE7"/>
    <w:rsid w:val="00EB03A5"/>
    <w:rsid w:val="00EB169E"/>
    <w:rsid w:val="00EC03F1"/>
    <w:rsid w:val="00ED02D3"/>
    <w:rsid w:val="00EE573D"/>
    <w:rsid w:val="00EF13EF"/>
    <w:rsid w:val="00EF656B"/>
    <w:rsid w:val="00EF6F83"/>
    <w:rsid w:val="00F00134"/>
    <w:rsid w:val="00F01478"/>
    <w:rsid w:val="00F149EC"/>
    <w:rsid w:val="00F1592E"/>
    <w:rsid w:val="00F325AF"/>
    <w:rsid w:val="00F340D5"/>
    <w:rsid w:val="00F34703"/>
    <w:rsid w:val="00F40228"/>
    <w:rsid w:val="00F42155"/>
    <w:rsid w:val="00F43216"/>
    <w:rsid w:val="00F47E15"/>
    <w:rsid w:val="00F53605"/>
    <w:rsid w:val="00F67069"/>
    <w:rsid w:val="00F7328F"/>
    <w:rsid w:val="00F73BEA"/>
    <w:rsid w:val="00F80F0E"/>
    <w:rsid w:val="00F81514"/>
    <w:rsid w:val="00F82D63"/>
    <w:rsid w:val="00F87B59"/>
    <w:rsid w:val="00F934BD"/>
    <w:rsid w:val="00F93F48"/>
    <w:rsid w:val="00F94152"/>
    <w:rsid w:val="00F95A6F"/>
    <w:rsid w:val="00FA0559"/>
    <w:rsid w:val="00FA5182"/>
    <w:rsid w:val="00FB0A08"/>
    <w:rsid w:val="00FB1CC8"/>
    <w:rsid w:val="00FB24FD"/>
    <w:rsid w:val="00FB749D"/>
    <w:rsid w:val="00FD273C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61E1B"/>
  <w15:docId w15:val="{8A53C88B-AD05-41BD-8D6D-353F842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7F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14A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3414AA"/>
  </w:style>
  <w:style w:type="character" w:customStyle="1" w:styleId="KommentartextZchn">
    <w:name w:val="Kommentartext Zchn"/>
    <w:basedOn w:val="Absatz-Standardschriftart"/>
    <w:link w:val="Kommentartext"/>
    <w:uiPriority w:val="99"/>
    <w:rsid w:val="003414A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14A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4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4A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4AA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C1E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1ED1"/>
  </w:style>
  <w:style w:type="paragraph" w:styleId="Fuzeile">
    <w:name w:val="footer"/>
    <w:basedOn w:val="Standard"/>
    <w:link w:val="FuzeileZchn"/>
    <w:uiPriority w:val="99"/>
    <w:unhideWhenUsed/>
    <w:rsid w:val="003C1E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ED1"/>
  </w:style>
  <w:style w:type="character" w:styleId="Seitenzahl">
    <w:name w:val="page number"/>
    <w:basedOn w:val="Absatz-Standardschriftart"/>
    <w:uiPriority w:val="99"/>
    <w:semiHidden/>
    <w:unhideWhenUsed/>
    <w:rsid w:val="009C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92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7852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Gießen und Marburg GmbH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Dyar</dc:creator>
  <cp:lastModifiedBy>Nicole von Maltzahn</cp:lastModifiedBy>
  <cp:revision>2</cp:revision>
  <cp:lastPrinted>2018-06-29T12:09:00Z</cp:lastPrinted>
  <dcterms:created xsi:type="dcterms:W3CDTF">2019-06-11T07:56:00Z</dcterms:created>
  <dcterms:modified xsi:type="dcterms:W3CDTF">2019-06-11T07:56:00Z</dcterms:modified>
</cp:coreProperties>
</file>